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0634ds3.htm"/>
        <w:bookmarkStart w:id="1" w:name="ksd140634ds3"/>
        <w:bookmarkEnd w:id="0"/>
        <w:bookmarkEnd w:id="1"/>
        <w:r>
          <w:rPr>
            <w:rStyle w:val="InternetLink"/>
            <w:b/>
            <w:sz w:val="20"/>
          </w:rPr>
          <w:t>Table of Contents</w:t>
        </w:r>
      </w:hyperlink>
    </w:p>
    <w:p>
      <w:pPr>
        <w:pStyle w:val="TextBody"/>
        <w:bidi w:val="0"/>
        <w:spacing w:before="0" w:after="0"/>
        <w:jc w:val="center"/>
        <w:rPr>
          <w:rFonts w:ascii="Times New Roman" w:hAnsi="Times New Roman"/>
          <w:b/>
          <w:sz w:val="17"/>
        </w:rPr>
      </w:pPr>
      <w:r>
        <w:rPr>
          <w:rFonts w:ascii="Times New Roman" w:hAnsi="Times New Roman"/>
          <w:b/>
          <w:sz w:val="17"/>
        </w:rPr>
        <w:t xml:space="preserve">As filed with the Securities and Exchange Commission on September 1, 2026 </w:t>
      </w:r>
    </w:p>
    <w:p>
      <w:pPr>
        <w:pStyle w:val="TextBody"/>
        <w:bidi w:val="0"/>
        <w:spacing w:before="0" w:after="0"/>
        <w:jc w:val="right"/>
        <w:rPr>
          <w:rFonts w:ascii="Times New Roman" w:hAnsi="Times New Roman"/>
          <w:b/>
          <w:sz w:val="17"/>
        </w:rPr>
      </w:pPr>
      <w:r>
        <w:rPr>
          <w:rFonts w:ascii="Times New Roman" w:hAnsi="Times New Roman"/>
          <w:b/>
          <w:sz w:val="17"/>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i/>
          <w:sz w:val="21"/>
        </w:rPr>
      </w:pPr>
      <w:r>
        <w:rPr>
          <w:rFonts w:ascii="Times New Roman" w:hAnsi="Times New Roman"/>
          <w:b/>
          <w:i/>
          <w:sz w:val="21"/>
        </w:rPr>
        <w:t xml:space="preserve">REGISTRATION STATEMENT </w:t>
      </w:r>
    </w:p>
    <w:p>
      <w:pPr>
        <w:pStyle w:val="TextBody"/>
        <w:bidi w:val="0"/>
        <w:spacing w:before="0" w:after="0"/>
        <w:jc w:val="center"/>
        <w:rPr>
          <w:rFonts w:ascii="Times New Roman" w:hAnsi="Times New Roman"/>
          <w:b/>
          <w:i/>
          <w:sz w:val="21"/>
        </w:rPr>
      </w:pPr>
      <w:r>
        <w:rPr>
          <w:rFonts w:ascii="Times New Roman" w:hAnsi="Times New Roman"/>
          <w:b/>
          <w:i/>
          <w:sz w:val="21"/>
        </w:rPr>
        <w:t xml:space="preserve">UNDER </w:t>
      </w:r>
    </w:p>
    <w:p>
      <w:pPr>
        <w:pStyle w:val="TextBody"/>
        <w:bidi w:val="0"/>
        <w:spacing w:before="0" w:after="0"/>
        <w:jc w:val="center"/>
        <w:rPr>
          <w:rFonts w:ascii="Times New Roman" w:hAnsi="Times New Roman"/>
          <w:b/>
          <w:i/>
          <w:sz w:val="21"/>
        </w:rPr>
      </w:pPr>
      <w:r>
        <w:rPr>
          <w:rFonts w:ascii="Times New Roman" w:hAnsi="Times New Roman"/>
          <w:b/>
          <w:i/>
          <w:sz w:val="21"/>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BRIDGEBIO ONCOLOGY THERAPEUTICS, INC. </w:t>
      </w:r>
    </w:p>
    <w:p>
      <w:pPr>
        <w:pStyle w:val="TextBody"/>
        <w:bidi w:val="0"/>
        <w:spacing w:before="0" w:after="0"/>
        <w:jc w:val="center"/>
        <w:rPr>
          <w:rFonts w:ascii="Times New Roman" w:hAnsi="Times New Roman"/>
          <w:b/>
          <w:sz w:val="17"/>
        </w:rPr>
      </w:pPr>
      <w:r>
        <w:rPr>
          <w:rFonts w:ascii="Times New Roman" w:hAnsi="Times New Roman"/>
          <w:b/>
          <w:sz w:val="17"/>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1"/>
        <w:gridCol w:w="4950"/>
      </w:tblGrid>
      <w:tr>
        <w:trPr/>
        <w:tc>
          <w:tcPr>
            <w:tcW w:w="515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283"/>
              <w:jc w:val="center"/>
              <w:rPr>
                <w:b/>
              </w:rPr>
            </w:pPr>
            <w:r>
              <w:rPr>
                <w:b/>
              </w:rPr>
              <w:t>39-3690783</w:t>
            </w:r>
          </w:p>
        </w:tc>
      </w:tr>
      <w:tr>
        <w:trPr/>
        <w:tc>
          <w:tcPr>
            <w:tcW w:w="5154" w:type="dxa"/>
            <w:tcBorders/>
          </w:tcPr>
          <w:p>
            <w:pPr>
              <w:pStyle w:val="TableContents"/>
              <w:bidi w:val="0"/>
              <w:spacing w:before="0" w:after="0"/>
              <w:jc w:val="center"/>
              <w:rPr>
                <w:rFonts w:ascii="Times New Roman" w:hAnsi="Times New Roman"/>
                <w:b/>
                <w:sz w:val="14"/>
              </w:rPr>
            </w:pPr>
            <w:r>
              <w:rPr>
                <w:rFonts w:ascii="Times New Roman" w:hAnsi="Times New Roman"/>
                <w:b/>
                <w:sz w:val="14"/>
              </w:rPr>
              <w:t>(State or Other Jurisdiction of</w:t>
            </w:r>
          </w:p>
          <w:p>
            <w:pPr>
              <w:pStyle w:val="TableContents"/>
              <w:bidi w:val="0"/>
              <w:spacing w:before="0" w:after="20"/>
              <w:jc w:val="center"/>
              <w:rPr>
                <w:rFonts w:ascii="Times New Roman" w:hAnsi="Times New Roman"/>
                <w:b/>
                <w:sz w:val="14"/>
              </w:rPr>
            </w:pPr>
            <w:r>
              <w:rPr>
                <w:rFonts w:ascii="Times New Roman" w:hAnsi="Times New Roman"/>
                <w:b/>
                <w:sz w:val="14"/>
              </w:rPr>
              <w:t>Incorporation or Organization)</w:t>
            </w:r>
          </w:p>
        </w:tc>
        <w:tc>
          <w:tcPr>
            <w:tcW w:w="101" w:type="dxa"/>
            <w:tcBorders/>
            <w:vAlign w:val="bottom"/>
          </w:tcPr>
          <w:p>
            <w:pPr>
              <w:pStyle w:val="TableContents"/>
              <w:bidi w:val="0"/>
              <w:spacing w:before="0" w:after="283"/>
              <w:jc w:val="left"/>
              <w:rPr/>
            </w:pPr>
            <w:r>
              <w:rPr/>
              <w:t> </w:t>
            </w:r>
          </w:p>
        </w:tc>
        <w:tc>
          <w:tcPr>
            <w:tcW w:w="4950" w:type="dxa"/>
            <w:tcBorders/>
          </w:tcPr>
          <w:p>
            <w:pPr>
              <w:pStyle w:val="TableContents"/>
              <w:bidi w:val="0"/>
              <w:spacing w:before="0" w:after="0"/>
              <w:jc w:val="center"/>
              <w:rPr>
                <w:rFonts w:ascii="Times New Roman" w:hAnsi="Times New Roman"/>
                <w:b/>
                <w:sz w:val="14"/>
              </w:rPr>
            </w:pPr>
            <w:r>
              <w:rPr>
                <w:rFonts w:ascii="Times New Roman" w:hAnsi="Times New Roman"/>
                <w:b/>
                <w:sz w:val="14"/>
              </w:rPr>
              <w:t>(I.R.S. Employer</w:t>
            </w:r>
          </w:p>
          <w:p>
            <w:pPr>
              <w:pStyle w:val="TableContents"/>
              <w:bidi w:val="0"/>
              <w:spacing w:before="0" w:after="20"/>
              <w:jc w:val="center"/>
              <w:rPr>
                <w:rFonts w:ascii="Times New Roman" w:hAnsi="Times New Roman"/>
                <w:b/>
                <w:sz w:val="14"/>
              </w:rPr>
            </w:pPr>
            <w:r>
              <w:rPr>
                <w:rFonts w:ascii="Times New Roman" w:hAnsi="Times New Roman"/>
                <w:b/>
                <w:sz w:val="14"/>
              </w:rPr>
              <w:t>Identification Number)</w:t>
            </w:r>
          </w:p>
        </w:tc>
      </w:tr>
    </w:tbl>
    <w:p>
      <w:pPr>
        <w:pStyle w:val="TextBody"/>
        <w:bidi w:val="0"/>
        <w:spacing w:before="240" w:after="0"/>
        <w:jc w:val="center"/>
        <w:rPr>
          <w:rFonts w:ascii="Times New Roman" w:hAnsi="Times New Roman"/>
          <w:b/>
          <w:sz w:val="17"/>
        </w:rPr>
      </w:pPr>
      <w:r>
        <w:rPr>
          <w:rFonts w:ascii="Times New Roman" w:hAnsi="Times New Roman"/>
          <w:b/>
          <w:sz w:val="17"/>
        </w:rPr>
        <w:t xml:space="preserve">256 E. Grand Avenue, Suite 104 </w:t>
      </w:r>
    </w:p>
    <w:p>
      <w:pPr>
        <w:pStyle w:val="TextBody"/>
        <w:bidi w:val="0"/>
        <w:spacing w:before="0" w:after="0"/>
        <w:jc w:val="center"/>
        <w:rPr>
          <w:rFonts w:ascii="Times New Roman" w:hAnsi="Times New Roman"/>
          <w:b/>
          <w:sz w:val="17"/>
        </w:rPr>
      </w:pPr>
      <w:r>
        <w:rPr>
          <w:rFonts w:ascii="Times New Roman" w:hAnsi="Times New Roman"/>
          <w:b/>
          <w:sz w:val="17"/>
        </w:rPr>
        <w:t xml:space="preserve">South San Francisco, CA 94080 </w:t>
      </w:r>
    </w:p>
    <w:p>
      <w:pPr>
        <w:pStyle w:val="TextBody"/>
        <w:bidi w:val="0"/>
        <w:spacing w:before="0" w:after="0"/>
        <w:jc w:val="center"/>
        <w:rPr>
          <w:rFonts w:ascii="Times New Roman" w:hAnsi="Times New Roman"/>
          <w:b/>
          <w:sz w:val="17"/>
        </w:rPr>
      </w:pPr>
      <w:r>
        <w:rPr>
          <w:rFonts w:ascii="Times New Roman" w:hAnsi="Times New Roman"/>
          <w:b/>
          <w:sz w:val="17"/>
        </w:rPr>
        <w:t xml:space="preserve">(650) 405-4770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7"/>
        </w:rPr>
      </w:pPr>
      <w:r>
        <w:rPr>
          <w:rFonts w:ascii="Times New Roman" w:hAnsi="Times New Roman"/>
          <w:b/>
          <w:sz w:val="17"/>
        </w:rPr>
        <w:t xml:space="preserve">Pedro J. Beltran </w:t>
      </w:r>
    </w:p>
    <w:p>
      <w:pPr>
        <w:pStyle w:val="TextBody"/>
        <w:bidi w:val="0"/>
        <w:spacing w:before="0" w:after="0"/>
        <w:jc w:val="center"/>
        <w:rPr>
          <w:rFonts w:ascii="Times New Roman" w:hAnsi="Times New Roman"/>
          <w:b/>
          <w:sz w:val="17"/>
        </w:rPr>
      </w:pPr>
      <w:r>
        <w:rPr>
          <w:rFonts w:ascii="Times New Roman" w:hAnsi="Times New Roman"/>
          <w:b/>
          <w:sz w:val="17"/>
        </w:rPr>
        <w:t xml:space="preserve">Chief Executive Officer </w:t>
      </w:r>
    </w:p>
    <w:p>
      <w:pPr>
        <w:pStyle w:val="TextBody"/>
        <w:bidi w:val="0"/>
        <w:spacing w:before="0" w:after="0"/>
        <w:jc w:val="center"/>
        <w:rPr>
          <w:rFonts w:ascii="Times New Roman" w:hAnsi="Times New Roman"/>
          <w:b/>
          <w:sz w:val="17"/>
        </w:rPr>
      </w:pPr>
      <w:r>
        <w:rPr>
          <w:rFonts w:ascii="Times New Roman" w:hAnsi="Times New Roman"/>
          <w:b/>
          <w:sz w:val="17"/>
        </w:rPr>
        <w:t xml:space="preserve">256 E. Grand Avenue, Suite 104 </w:t>
      </w:r>
    </w:p>
    <w:p>
      <w:pPr>
        <w:pStyle w:val="TextBody"/>
        <w:bidi w:val="0"/>
        <w:spacing w:before="0" w:after="0"/>
        <w:jc w:val="center"/>
        <w:rPr>
          <w:rFonts w:ascii="Times New Roman" w:hAnsi="Times New Roman"/>
          <w:b/>
          <w:sz w:val="17"/>
        </w:rPr>
      </w:pPr>
      <w:r>
        <w:rPr>
          <w:rFonts w:ascii="Times New Roman" w:hAnsi="Times New Roman"/>
          <w:b/>
          <w:sz w:val="17"/>
        </w:rPr>
        <w:t xml:space="preserve">South San Francisco, CA 94080 </w:t>
      </w:r>
    </w:p>
    <w:p>
      <w:pPr>
        <w:pStyle w:val="TextBody"/>
        <w:bidi w:val="0"/>
        <w:spacing w:before="0" w:after="0"/>
        <w:jc w:val="center"/>
        <w:rPr>
          <w:rFonts w:ascii="Times New Roman" w:hAnsi="Times New Roman"/>
          <w:b/>
          <w:sz w:val="17"/>
        </w:rPr>
      </w:pPr>
      <w:r>
        <w:rPr>
          <w:rFonts w:ascii="Times New Roman" w:hAnsi="Times New Roman"/>
          <w:b/>
          <w:sz w:val="17"/>
        </w:rPr>
        <w:t xml:space="preserve">(650) 405-4770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7"/>
        </w:rPr>
      </w:pPr>
      <w:r>
        <w:rPr>
          <w:rFonts w:ascii="Times New Roman" w:hAnsi="Times New Roman"/>
          <w:b/>
          <w:i/>
          <w:sz w:val="17"/>
        </w:rPr>
        <w:t xml:space="preserve">Copies to: </w:t>
      </w:r>
    </w:p>
    <w:p>
      <w:pPr>
        <w:pStyle w:val="TextBody"/>
        <w:bidi w:val="0"/>
        <w:spacing w:before="120" w:after="0"/>
        <w:jc w:val="center"/>
        <w:rPr>
          <w:rFonts w:ascii="Times New Roman" w:hAnsi="Times New Roman"/>
          <w:b/>
          <w:sz w:val="17"/>
        </w:rPr>
      </w:pPr>
      <w:r>
        <w:rPr>
          <w:rFonts w:ascii="Times New Roman" w:hAnsi="Times New Roman"/>
          <w:b/>
          <w:sz w:val="17"/>
        </w:rPr>
        <w:t xml:space="preserve">Maggie L. Wong </w:t>
      </w:r>
    </w:p>
    <w:p>
      <w:pPr>
        <w:pStyle w:val="TextBody"/>
        <w:bidi w:val="0"/>
        <w:spacing w:before="0" w:after="0"/>
        <w:jc w:val="center"/>
        <w:rPr>
          <w:rFonts w:ascii="Times New Roman" w:hAnsi="Times New Roman"/>
          <w:b/>
          <w:sz w:val="17"/>
        </w:rPr>
      </w:pPr>
      <w:r>
        <w:rPr>
          <w:rFonts w:ascii="Times New Roman" w:hAnsi="Times New Roman"/>
          <w:b/>
          <w:sz w:val="17"/>
        </w:rPr>
        <w:t xml:space="preserve">Alicia M. Tschirhart </w:t>
      </w:r>
    </w:p>
    <w:p>
      <w:pPr>
        <w:pStyle w:val="TextBody"/>
        <w:bidi w:val="0"/>
        <w:spacing w:before="0" w:after="0"/>
        <w:jc w:val="center"/>
        <w:rPr>
          <w:rFonts w:ascii="Times New Roman" w:hAnsi="Times New Roman"/>
          <w:b/>
          <w:sz w:val="17"/>
        </w:rPr>
      </w:pPr>
      <w:r>
        <w:rPr>
          <w:rFonts w:ascii="Times New Roman" w:hAnsi="Times New Roman"/>
          <w:b/>
          <w:sz w:val="17"/>
        </w:rPr>
        <w:t xml:space="preserve">Goodwin Procter LLP </w:t>
      </w:r>
    </w:p>
    <w:p>
      <w:pPr>
        <w:pStyle w:val="TextBody"/>
        <w:bidi w:val="0"/>
        <w:spacing w:before="0" w:after="0"/>
        <w:jc w:val="center"/>
        <w:rPr>
          <w:rFonts w:ascii="Times New Roman" w:hAnsi="Times New Roman"/>
          <w:b/>
          <w:sz w:val="17"/>
        </w:rPr>
      </w:pPr>
      <w:r>
        <w:rPr>
          <w:rFonts w:ascii="Times New Roman" w:hAnsi="Times New Roman"/>
          <w:b/>
          <w:sz w:val="17"/>
        </w:rPr>
        <w:t xml:space="preserve">525 Market Street </w:t>
      </w:r>
    </w:p>
    <w:p>
      <w:pPr>
        <w:pStyle w:val="TextBody"/>
        <w:bidi w:val="0"/>
        <w:spacing w:before="0" w:after="0"/>
        <w:jc w:val="center"/>
        <w:rPr>
          <w:rFonts w:ascii="Times New Roman" w:hAnsi="Times New Roman"/>
          <w:b/>
          <w:sz w:val="17"/>
        </w:rPr>
      </w:pPr>
      <w:r>
        <w:rPr>
          <w:rFonts w:ascii="Times New Roman" w:hAnsi="Times New Roman"/>
          <w:b/>
          <w:sz w:val="17"/>
        </w:rPr>
        <w:t xml:space="preserve">San Francisco, CA 94105 </w:t>
      </w:r>
    </w:p>
    <w:p>
      <w:pPr>
        <w:pStyle w:val="TextBody"/>
        <w:bidi w:val="0"/>
        <w:spacing w:before="0" w:after="0"/>
        <w:jc w:val="center"/>
        <w:rPr>
          <w:rFonts w:ascii="Times New Roman" w:hAnsi="Times New Roman"/>
          <w:b/>
          <w:sz w:val="17"/>
        </w:rPr>
      </w:pPr>
      <w:r>
        <w:rPr>
          <w:rFonts w:ascii="Times New Roman" w:hAnsi="Times New Roman"/>
          <w:b/>
          <w:sz w:val="17"/>
        </w:rPr>
        <w:t xml:space="preserve">Telephone: (415) 733-6000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7"/>
        </w:rPr>
      </w:pPr>
      <w:r>
        <w:rPr>
          <w:rFonts w:ascii="Times New Roman" w:hAnsi="Times New Roman"/>
          <w:b/>
          <w:sz w:val="17"/>
        </w:rPr>
        <w:t xml:space="preserve">Approximate date of commencement of proposed sale to the public: </w:t>
      </w:r>
      <w:r>
        <w:rPr>
          <w:rFonts w:ascii="Times New Roman" w:hAnsi="Times New Roman"/>
          <w:sz w:val="17"/>
        </w:rPr>
        <w:t xml:space="preserve">From time to time after this Registration Statement becomes effective. </w:t>
      </w:r>
    </w:p>
    <w:p>
      <w:pPr>
        <w:pStyle w:val="TextBody"/>
        <w:bidi w:val="0"/>
        <w:spacing w:before="240" w:after="0"/>
        <w:jc w:val="left"/>
        <w:rPr>
          <w:rFonts w:ascii="Times New Roman" w:hAnsi="Times New Roman"/>
          <w:sz w:val="17"/>
        </w:rPr>
      </w:pPr>
      <w:r>
        <w:rPr>
          <w:rFonts w:ascii="Times New Roman" w:hAnsi="Times New Roman"/>
          <w:sz w:val="17"/>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7"/>
        </w:rPr>
      </w:pPr>
      <w:r>
        <w:rPr>
          <w:rFonts w:ascii="Times New Roman" w:hAnsi="Times New Roman"/>
          <w:sz w:val="17"/>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7"/>
        </w:rPr>
      </w:pPr>
      <w:r>
        <w:rPr>
          <w:rFonts w:ascii="Times New Roman" w:hAnsi="Times New Roman"/>
          <w:sz w:val="17"/>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7"/>
        </w:rPr>
      </w:pPr>
      <w:r>
        <w:rPr>
          <w:rFonts w:ascii="Times New Roman" w:hAnsi="Times New Roman"/>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7"/>
        </w:rPr>
      </w:pPr>
      <w:r>
        <w:rPr>
          <w:rFonts w:ascii="Times New Roman" w:hAnsi="Times New Roman"/>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7"/>
        </w:rPr>
      </w:pPr>
      <w:r>
        <w:rPr>
          <w:rFonts w:ascii="Times New Roman" w:hAnsi="Times New Roman"/>
          <w:b/>
          <w:sz w:val="17"/>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two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us of the securities identified above from time to time in one or more offerings with a total value of up to $500,000,000;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sales agreement prospectus covering the offering, issuance and sale by us of up to a maximum aggregate offering price of $200,000,000 of shares of our common stock that may be issued and sold from time to time under a sales agreement with Leerink Partners LLC and Cantor Fitzgerald &amp; Co. (the “Sales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will be specified in a prospectus supplement to the base prospectus. The specific terms of the securities to be issued and sold under the Sales Agreement are specified in the sales agreement prospectus that immediately follows the base prospectus. The $200,000,000 shares of common stock that may be offered, issued and sold pursuant to the Sales Agreement and under the sales agreement prospectus is included in the $500,000,000 of securities that may be offered, issued and sold by us under the base prospectus. Upon termination of the Sales Agreement, any portion of the $200,000,000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$500,000,000 of securities may be sold in other offerings by us pursuant to the base prospectus and corresponding prospectus supplements.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BridgeBio Oncology Therapeutics,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$500,000,000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Units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From time to time, we may offer and sell up to $500,000,000 in aggregate principal amount of our Common Stock, Preferred Stock, Debt Securities, Warrants or Units, in each case in one or more issuances and at prices and on terms that we will determine at the time of the offering.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under the symbol “BBOT.” On August 31, 2026, the closing price of our common stock, as reported on The Nasdaq Global Market, was $8.80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certain risks. You should review carefully the risks and uncertainties described under the heading “</w:t>
      </w:r>
      <w:hyperlink w:anchor="tx140634_4">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on page 4 of this prospectus and under any similar heading in the documents that are incorporated by reference into this prospectus, as well as “</w:t>
      </w:r>
      <w:r>
        <w:rPr>
          <w:rFonts w:ascii="Times New Roman" w:hAnsi="Times New Roman"/>
          <w:b/>
          <w:i/>
          <w:sz w:val="24"/>
        </w:rPr>
        <w:t>Cautionary Note Regarding Forward-Looking Statements</w:t>
      </w:r>
      <w:r>
        <w:rPr>
          <w:rFonts w:ascii="Times New Roman" w:hAnsi="Times New Roman"/>
          <w:sz w:val="24"/>
        </w:rPr>
        <w:t xml:space="preserve">” </w:t>
      </w:r>
      <w:r>
        <w:rPr>
          <w:rFonts w:ascii="Times New Roman" w:hAnsi="Times New Roman"/>
          <w:b/>
          <w:sz w:val="24"/>
        </w:rPr>
        <w:t xml:space="preserve">on page ii of this prospectus. You should read the entire prospectus and any applicable prospectus supplement carefully before you make your investment decision.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hAnsi="Times New Roman"/>
          <w:i/>
          <w:sz w:val="20"/>
        </w:rPr>
        <w:t>Plan of Distribution</w:t>
      </w:r>
      <w:r>
        <w:rPr>
          <w:rFonts w:ascii="Times New Roman" w:hAnsi="Times New Roman"/>
          <w:sz w:val="20"/>
        </w:rPr>
        <w:t xml:space="preserve">” in this prospectus. We will also describe in an applicable prospectus supplement the way(s) in which we expect to use the net proceeds we receive from any sale.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an “emerging growth company” and a “smaller reporting company” as defined under the U.S. federal securities laws and, as such, are subject to certain reduced public company reporting requirements. See “</w:t>
      </w:r>
      <w:r>
        <w:rPr>
          <w:rFonts w:ascii="Times New Roman" w:hAnsi="Times New Roman"/>
          <w:i/>
          <w:sz w:val="20"/>
        </w:rPr>
        <w:t>Prospectus Summary—Implications of Being an Emerging Growth Company and a Smaller Reporting Company</w:t>
      </w:r>
      <w:r>
        <w:rPr>
          <w:rFonts w:ascii="Times New Roman" w:hAnsi="Times New Roman"/>
          <w:sz w:val="20"/>
        </w:rPr>
        <w:t xml:space="preserve">.” This prospectus complies with the requirements that apply to an issuer that is an emerging growth company and a smaller reporting company.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This prospectus may not be used to offer or sell any securities unless accompanied by a prospectus supplement.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2">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6">
              <w:r>
                <w:rPr>
                  <w:rStyle w:val="InternetLink"/>
                  <w:rFonts w:ascii="Times New Roman" w:hAnsi="Times New Roman"/>
                  <w:sz w:val="20"/>
                </w:rPr>
                <w:t>GENERAL DESCRIPTION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7">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10">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x140634_15">
              <w:r>
                <w:rPr>
                  <w:rStyle w:val="InternetLink"/>
                  <w:rFonts w:ascii="Times New Roman" w:hAnsi="Times New Roman"/>
                  <w:sz w:val="20"/>
                </w:rPr>
                <w:t>INCORPORATION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4063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Securities and Exchange Commission (“SEC”), using a “shelf” registration process. </w:t>
      </w:r>
    </w:p>
    <w:p>
      <w:pPr>
        <w:pStyle w:val="TextBody"/>
        <w:bidi w:val="0"/>
        <w:spacing w:before="240" w:after="0"/>
        <w:jc w:val="left"/>
        <w:rPr>
          <w:rFonts w:ascii="Times New Roman" w:hAnsi="Times New Roman"/>
          <w:sz w:val="20"/>
        </w:rPr>
      </w:pPr>
      <w:r>
        <w:rPr>
          <w:rFonts w:ascii="Times New Roman" w:hAnsi="Times New Roman"/>
          <w:sz w:val="20"/>
        </w:rPr>
        <w:t xml:space="preserve">Under this process, we may sell the securities described in this prospectus in one or more offerings for an aggregate offering amount of up to $500,000,000.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together with any accompanying prospectus supplement and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in both this prospectus and the applicable prospectus supplement, and in 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 </w:t>
      </w:r>
    </w:p>
    <w:p>
      <w:pPr>
        <w:pStyle w:val="TextBody"/>
        <w:bidi w:val="0"/>
        <w:spacing w:before="240" w:after="0"/>
        <w:jc w:val="left"/>
        <w:rPr>
          <w:rFonts w:ascii="Times New Roman" w:hAnsi="Times New Roman"/>
          <w:sz w:val="20"/>
        </w:rPr>
      </w:pPr>
      <w:r>
        <w:rPr>
          <w:rFonts w:ascii="Times New Roman" w:hAnsi="Times New Roman"/>
          <w:sz w:val="20"/>
        </w:rPr>
        <w:t xml:space="preserve">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risks discussed in our filings incorporated herein by reference. These and other factors could cause results to differ materially from those expressed in the estimates made by the independent parties or by us.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indicates otherwise, references in this prospectus to the “Company,” “BBOT,” “we,” “us,” “our,” and similar terms refer to BridgeBio Oncology Therapeutics,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140634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related to the success, cost and timing of product development activities, including timing of initiation, completion and data readouts for clinical trials and the potential approval of our product candidates, including the progress and results of the ONKORAS-101, BREAKER-101 and KONQUER-101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and therapeutic potential of BBO-8520, BBO-10203 and BBO-11818;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and curative potential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financial information, anticipated growth rate and market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liquidity and trading volatility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recruiting, or changes required in,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current and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for our technologies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current and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international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lawsuits and penalties related to our technologies, product candidates and current and future relationships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manage the growth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and maintain effective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supply chain disruptions;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global economic conditions, including inflationary pressures, market volatility, acts of war and civil and political unrest;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detailed under the section entitled “Risk Factors”. </w:t>
            </w:r>
          </w:p>
        </w:tc>
      </w:tr>
    </w:tbl>
    <w:p>
      <w:pPr>
        <w:pStyle w:val="TextBody"/>
        <w:bidi w:val="0"/>
        <w:spacing w:before="240" w:after="0"/>
        <w:jc w:val="left"/>
        <w:rPr>
          <w:rFonts w:ascii="Times New Roman" w:hAnsi="Times New Roman"/>
          <w:sz w:val="20"/>
        </w:rPr>
      </w:pPr>
      <w:r>
        <w:rPr>
          <w:rFonts w:ascii="Times New Roman" w:hAnsi="Times New Roman"/>
          <w:sz w:val="20"/>
        </w:rPr>
        <w:t>These forward-looking statements are based on information available as of the date of this prospectus and current expectations, forecasts and assumptions, and involve a number of judgments, risks and uncertainties. These and other factors that could cause actual results to differ from those implied by the forward-looking statements in this prospectus are more fully described under the heading “</w:t>
      </w:r>
      <w:r>
        <w:rPr>
          <w:rFonts w:ascii="Times New Roman" w:hAnsi="Times New Roman"/>
          <w:i/>
          <w:sz w:val="20"/>
        </w:rPr>
        <w:t>Risk Factors</w:t>
      </w:r>
      <w:r>
        <w:rPr>
          <w:rFonts w:ascii="Times New Roman" w:hAnsi="Times New Roman"/>
          <w:sz w:val="20"/>
        </w:rPr>
        <w:t xml:space="preserve">” and elsewhere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prospectus. The risks described under the heading “</w:t>
      </w:r>
      <w:r>
        <w:rPr>
          <w:rFonts w:ascii="Times New Roman" w:hAnsi="Times New Roman"/>
          <w:i/>
          <w:sz w:val="20"/>
        </w:rPr>
        <w:t>Risk Factors</w:t>
      </w:r>
      <w:r>
        <w:rPr>
          <w:rFonts w:ascii="Times New Roman" w:hAnsi="Times New Roman"/>
          <w:sz w:val="20"/>
        </w:rPr>
        <w:t xml:space="preserve">” are not exhaustive. New risk factors emerge from time to time and it is not possible to predict all such risk factors, nor can we assess the impact of all such risk factors on its business, or the extent to which any factor or combination of factors may cause actual results to differ materially from those contained in any forward-looking statements. All forward-looking statements attributable to us or persons acting on their behalf are expressly qualified in their entirety by the foregoing cautionary statements. We undertake no obligations to update or revise publicly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140634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selected information included in greater detail elsewhere in this prospectus. This summary is not complete and does not contain all of the information you should consider or that may be important to you in making an investment decision. You should carefully read the entire prospectus before making an investment in our securities.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the sections of this prospectus entitled “Where You Can Find More Information” and “Incorporation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BBOT is a clinical-stage biotechnology company advancing a next-generation pipeline of novel small-molecule therapeutics targeting RAS and Phosphoinositide 3-kinase (“PI3K”). Our mission is to accelerate scientific and medical breakthroughs and deliver well-tolerated medicines with greater efficacy and safety to people with the deadliest cancers. We are advancing our next-generation RAS-pathway targeted small molecules with a focus on optimized target coverage for patients with tumors driven by RAS and PI3Kα and a synergistic portfolio that is designed to enable targeted KRAS combinations.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consists of three orally bioavailable small molecule inhibitors that were designed and optimized within BBOT with the goal of providing patients with significant benefit over standard of care. Additionally, we believe BBOT has the opportunity to provide further benefit to patients with KRAS mutant tumors through combination of our inhibitors. We believe our pipeline has the opportunity to address a large number of patients afflicted with metastatic cancer.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63895" cy="31680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63895" cy="31680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BBO-8520 is an orally bioavailable small molecule direct inhibitor targeting both the ON and OFF states of KRAS. The U.S. Food and Drug Administration (“FDA”) has granted Fast Track designation to BBO-8520 for the treatment of adult patients with previously treated, KRAS G12C-mutated metastatic non-small cell lung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cancer (“NSCLC”). ONKORAS-101 is an open-label, multi-center Phase 1a/1b study designed to evaluate the safety, tolerability, preliminary antitumor activity, and pharmacokinetics of BBO-8520 as a single agent and in combination with pembrolizumab in patients with KRASG12C mutant NSCLC. BBO-8520 in combination with pembrolizumab, at active dose levels, demonstrated promising efficacy data and a distinct safety profile, including a potentially differentiated liver toxicity profile. Updated clinical data are expected in the second half of 2026 and an internal combination study with BBO-10203 opened in April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BBO-11818 is an orally bioavailable small molecule pan-KRAS inhibitor that targets mutant KRAS in both the ON and OFF states. On April 20, 2026, we announced that BBOT was granted U.S. FDA Fast Track designation for BBO-11818 for the treatment of adult patients with advanced KRAS-mutant PDAC. Updated Phase 1 clinical data are expected in the second half of 2026. An internal combination study with BBO-10203 opened in July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BBO-10203 is an orally bioavailable small molecule with a novel mechanism of action designed to inhibit the physical interaction between RAS and PI3K</w:t>
      </w:r>
      <w:r>
        <w:rPr>
          <w:rFonts w:ascii="SYMBOL" w:hAnsi="SYMBOL"/>
          <w:sz w:val="20"/>
          <w:bdr w:val="single" w:sz="8" w:space="1" w:color="000000"/>
        </w:rPr>
        <w:t>a</w:t>
      </w:r>
      <w:r>
        <w:rPr>
          <w:rFonts w:ascii="Times New Roman" w:hAnsi="Times New Roman"/>
          <w:sz w:val="20"/>
          <w:bdr w:val="single" w:sz="8" w:space="1" w:color="000000"/>
        </w:rPr>
        <w:t>, inhibiting RAS-driven PI3K</w:t>
      </w:r>
      <w:r>
        <w:rPr>
          <w:rFonts w:ascii="SYMBOL" w:hAnsi="SYMBOL"/>
          <w:sz w:val="20"/>
          <w:bdr w:val="single" w:sz="8" w:space="1" w:color="000000"/>
        </w:rPr>
        <w:t>a</w:t>
      </w:r>
      <w:r>
        <w:rPr>
          <w:rFonts w:ascii="Times New Roman" w:hAnsi="Times New Roman"/>
          <w:sz w:val="20"/>
          <w:bdr w:val="single" w:sz="8" w:space="1" w:color="000000"/>
        </w:rPr>
        <w:t xml:space="preserve">-AKT signaling in tumors. Updated clinical data are expected in the second half of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was established in August 2016 by BridgeBio Pharma Inc. (“BridgeBio Pharma”) under the name, TheRas, Inc. (d/b/a BridgeBio Oncology Therapeutics), a Delaware corporation (“TheRas”). We operated as part of BridgeBio Pharma through April 30, 2024. TheRas entered into a business combination agreement, dated February 28, 2025 and amended on June 17, 2025 (as amended, the “Business Combination Agreement”) with Helix Acquisition Corp. II, a Cayman Islands exempted company (“Helix”) listed on Nasdaq under the ticker symbol “HLXB.” On August 11, 2025, pursuant to the Business Combination Agreement, Helix II Merger Sub, Inc., a Delaware corporation and wholly owned subsidiary of Helix (“Merger Sub”), merged with and into TheRas, with TheRas surviving the merger as a wholly-owned subsidiary of Helix. In connection with the Merger, Helix changed its name to BridgeBio Oncology Therapeutics, Inc., and the combined company became listed on Nasdaq under the new ticker symbol “BBOT.” Our principal executive offices are located at 256 E. Grand Avenue, Suite 104, South San Francisco, CA 94080. Our telephone number is (650) 405-4770.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web page address is https://bbotx.com. Our investor relations website is located at https://investors.bbotx.com. We make available free of charge on our investor relations website under “SEC Filings” our Annual Reports on Form 10-K, Quarterly Reports on Form 10-Q, Current Reports on Form 8-K, including exhibits, our directors’ and officers’ Section 16 Reports and any amendments to those reports after filing or furnishing such materials to the SEC. References to our website address do not constitute incorporation by reference of the information contained on the website, and the information contained on the website is not part of this document or any other document that we file with or furnish to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Jumpstart Our Business Startups Act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(i) being permitted to present only two years of audited financial statements and selected financial data and only two years of related “</w:t>
      </w:r>
      <w:r>
        <w:rPr>
          <w:rFonts w:ascii="Times New Roman" w:hAnsi="Times New Roman"/>
          <w:i/>
          <w:sz w:val="20"/>
          <w:bdr w:val="single" w:sz="8" w:space="1" w:color="000000"/>
        </w:rPr>
        <w:t>Management’s Discussion and Analysis of Financial Condition and Results of Operations</w:t>
      </w:r>
      <w:r>
        <w:rPr>
          <w:rFonts w:ascii="Times New Roman" w:hAnsi="Times New Roman"/>
          <w:sz w:val="20"/>
          <w:bdr w:val="single" w:sz="8" w:space="1" w:color="000000"/>
        </w:rPr>
        <w:t xml:space="preserve">” in our periodic reports and registration statements, subject to certain exceptions, (ii) not being required to have our internal control over financial reporting be audited by our independent registered public accounting firm pursuant to Section 404 of the Sarbanes-Oxley Act of 2002, as amended (the “Sarbanes-Oxley Act”), (iii) certain reduced disclosure requirements related to the disclosure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executive compensation in this prospectus and in our periodic reports and proxy statements, (iv) not being required to comply with any requirement that may be adopted by the Public Company Accounting Oversight Board (the “PCAOB”) regarding mandatory audit firm rotation or a supplement to the auditor’s report providing additional information about the audit and the financial statements, and (v) exemptions from the requirement that we hold a nonbinding advisory vote on executive compensation and any golden parachute payments. We may take advantage of these exemptions until we are no longer an emerging growth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2029 (the last day of the fiscal year ending after the fifth anniversary of Helix’s initial public offering in February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$250 million or more measured on the last business day of our second fiscal quarter, or our annual revenues are less than $100 million during the most recently completed fiscal year and our common stock held by non-affiliates is $700 million or more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40634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Before deciding whether to invest in our securities, in addition to the risks and uncertainties discussed above under “</w:t>
      </w:r>
      <w:r>
        <w:rPr>
          <w:rFonts w:ascii="Times New Roman" w:hAnsi="Times New Roman"/>
          <w:i/>
          <w:sz w:val="20"/>
        </w:rPr>
        <w:t>Cautionary Note Regarding Forward-Looking Statements</w:t>
      </w:r>
      <w:r>
        <w:rPr>
          <w:rFonts w:ascii="Times New Roman" w:hAnsi="Times New Roman"/>
          <w:sz w:val="20"/>
        </w:rPr>
        <w:t xml:space="preserve">,” you should carefully consider the risk factors incorporated herein by reference to our most recent Annual Report on Form 10-K and in any subsequent Quarterly Reports on Form 10-Q or Current Reports on Form 8-K, we file after the date of this prospectus, all other information contained or incorporated by reference into this prospectus, as updated by our subsequent filings under the Exchange Act, and the risk factors and other information contained in any applicable prospectus supplement.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Additional risks and uncertainties not presently known to us or that we currently deem immaterial may also impair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4063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40634_6"/>
      <w:bookmarkEnd w:id="8"/>
      <w:r>
        <w:rPr>
          <w:rFonts w:ascii="Times New Roman" w:hAnsi="Times New Roman"/>
          <w:b/>
          <w:sz w:val="20"/>
        </w:rPr>
        <w:t xml:space="preserve">GENERAL 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dividends or other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liquidation preference;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original issue discount;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exercise, exchange, settlement or sinking fund terms, including prices or rates, and any provisions for changes to or adjustments in such prices or rates and in the securities or other property receivable upon conversion, exercise, exchange or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listing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important U.S. federal income tax considerations.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 </w:t>
      </w:r>
    </w:p>
    <w:p>
      <w:pPr>
        <w:pStyle w:val="TextBody"/>
        <w:bidi w:val="0"/>
        <w:spacing w:before="240" w:after="0"/>
        <w:jc w:val="left"/>
        <w:rPr>
          <w:rFonts w:ascii="Times New Roman" w:hAnsi="Times New Roman"/>
          <w:sz w:val="20"/>
        </w:rPr>
      </w:pPr>
      <w:r>
        <w:rPr>
          <w:rFonts w:ascii="Times New Roman" w:hAnsi="Times New Roman"/>
          <w:sz w:val="20"/>
        </w:rPr>
        <w:t>We may sell the securities to or through underwriters, dealers or agents, directly to purchasers or through a combination of any of these methods of sale or as otherwise set forth under “</w:t>
      </w:r>
      <w:r>
        <w:rPr>
          <w:rFonts w:ascii="Times New Roman" w:hAnsi="Times New Roman"/>
          <w:i/>
          <w:sz w:val="20"/>
        </w:rPr>
        <w:t>Plan of Distribution</w:t>
      </w:r>
      <w:r>
        <w:rPr>
          <w:rFonts w:ascii="Times New Roman" w:hAnsi="Times New Roman"/>
          <w:sz w:val="20"/>
        </w:rPr>
        <w:t xml:space="preserve">.”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 </w:t>
      </w:r>
    </w:p>
    <w:p>
      <w:pPr>
        <w:pStyle w:val="TextBody"/>
        <w:bidi w:val="0"/>
        <w:spacing w:before="240" w:after="0"/>
        <w:jc w:val="left"/>
        <w:rPr>
          <w:rFonts w:ascii="Times New Roman" w:hAnsi="Times New Roman"/>
          <w:sz w:val="20"/>
        </w:rPr>
      </w:pPr>
      <w:r>
        <w:rPr>
          <w:rFonts w:ascii="Times New Roman" w:hAnsi="Times New Roman"/>
          <w:sz w:val="20"/>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40634_7"/>
      <w:bookmarkEnd w:id="9"/>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the material terms of our securities is not intended to be a complete summary of the rights and preferences of such securities, and is qualified by reference to the certificate of incorporation of the Company, as currently in effect (the “Charter”) and the bylaws of the Company, as currently in effect (the “Bylaws”), which are exhibits to the registration statement of which this prospectus is a part. We urge you to read each of the Charter and the Bylaws described herein in their entirety for a complete description of the rights and preferences of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and Outstanding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issuance of 510,000,000 shares of capital stock, consisting of (i) 500,000,000 shares of common stock, par value $0.0001 per share (the “Common Stock”) and (ii) 10,000,000 shares of undesignated preferred stock, par value $0.0001 per share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that such holders shall not be entitled to vote on any amendment to the Charter (or on any amendment to a certificate of designations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the Charter (or pursuant to a certificate of designations of any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may be declared and paid or set apart for payment upon common stock out of any assets or funds of the Company legally available for the payment of dividends, but only when and as declared by the board of directors or any authorized committee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voluntary or involuntary liquidation, dissolution or winding up of the Company, the net assets of the Company shall be distributed pro rata to the holders of Common Stock.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shares of Preferred Stock may be issued from time to time in one or more series. Our board of directors is authorized to fix the voting rights, if any, designations, powers, preferences and relative, participating, optional, special and other rights, if any, and any qualifications, limitations and restrictions thereof, applicable to the shares of each series. Our board of directors is able, without stockholder approval, to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The Company has no Preferred Stock outstanding at the date hereof. Although the Company does not currently intend to issue any shares of Preferred Stock, it cannot assure you that the Company will not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Under the Charter, holders of Common Stock are entitled to receive ratable dividends, if any, as may be declared from time to time by our board of directors out of legally available assets or funds. There are no current plans to pay cash dividends on Common Stock for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Power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required by law or as otherwise provided in any certificate of designation for any series of Preferred Stock, under the current Charter and the Bylaws, the holders of Common Stock possess or will possess, as applicable, all voting power for the election of our directors and all other matters requiring stockholder action and are entitled or will be entitled, as applicable, to one vote per share on matters to be voted on by stockholders. Subject to certain limited exceptions, the holders of Common Stock shall at all times vote together as one class on all matters submitted to a vote of the holders of Common Stock under the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Preemptive or Other Rights </w:t>
      </w:r>
    </w:p>
    <w:p>
      <w:pPr>
        <w:pStyle w:val="TextBody"/>
        <w:bidi w:val="0"/>
        <w:spacing w:before="120" w:after="0"/>
        <w:jc w:val="left"/>
        <w:rPr>
          <w:rFonts w:ascii="Times New Roman" w:hAnsi="Times New Roman"/>
          <w:sz w:val="20"/>
        </w:rPr>
      </w:pPr>
      <w:r>
        <w:rPr>
          <w:rFonts w:ascii="Times New Roman" w:hAnsi="Times New Roman"/>
          <w:sz w:val="20"/>
        </w:rPr>
        <w:t xml:space="preserve">The Charter does not provide for any preemptive or other similar rights.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currently consists of eight directors and is divided into three classes designated as Class I, Class II and Class III. Class I directors will serve for a term expiring at the annual meeting of stockholders to be held in 2029. Class II and Class III directors will initially serve for a term expiring at the annual meeting of stockholders to be held in 2027 and 2028,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Under the Charter, directors are elected by a plurality voting standard, whereby each of our stockholders may not give more than one vote per share towards any one director nominee. There are no cumulative voting rights. </w:t>
      </w:r>
    </w:p>
    <w:p>
      <w:pPr>
        <w:pStyle w:val="TextBody"/>
        <w:bidi w:val="0"/>
        <w:spacing w:before="360" w:after="0"/>
        <w:jc w:val="left"/>
        <w:rPr>
          <w:rFonts w:ascii="Times New Roman" w:hAnsi="Times New Roman"/>
          <w:b/>
          <w:sz w:val="20"/>
        </w:rPr>
      </w:pPr>
      <w:r>
        <w:rPr>
          <w:rFonts w:ascii="Times New Roman" w:hAnsi="Times New Roman"/>
          <w:b/>
          <w:sz w:val="20"/>
        </w:rPr>
        <w:t xml:space="preserve">Annual 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Annual stockholder meetings will be held at a date, time and place, if any, as exclusively selected by our board of directors. To the extent permitted under applicable law, the Company may conduct meetings by means of remote communication.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Bylaws provide for the indemnification of current and former officers and directors of the Company to the fullest extent permitted by Delaware law. The Company has entered into agreements with our officers and directors to provide contractual indemnification in addition to the indemnification provided for in the Charter.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closing of the business combination transaction with Helix on August 11, 2025 (the “Closing”), Helix purchased a tail policy with respect to liability coverage for the benefit of our current officers and directors on the same or substantially similar terms of Helix’s prior policy. The Company will maintain such tail policy for a period of six years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discourage current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the Company pays the costs of settlement and damage awards against officers and directors pursuant to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these provisions, the directors’ and officers’ liability insurance and the indemnity agreements are necessary to attract and retain talented and experienced officers and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Anti-Takeover Provisions of Delaware Law,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Charter, Bylaws and the DGCL contain provisions, as summarized in the following paragraphs that are intended to enhance the likelihood of continuity and stability in the composition of our board of directors. These provisions are intended to avoid costly takeover battles, reduce the Company’s vulnerability to a hostile change of control and enhance the ability of our board of directors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The Company’s organizational documents establish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or a claim based on, a breach of a fiduciary duty owed by any current or former director, officer or other employee or stockholder of the Company to the Company or the Company’s stockholders, (iii) any action asserting a claim arising pursuant to any provision of the DGCL or the Charter or Bylaws (including the interpretation, validity or enforceability thereof) or as to which the DGCL confers jurisdiction on the Court of Chancery of the State of Delaware or (iv) any action asserting a claim governed by the internal affairs doctrine; provided, however, that the exclusive forum provision will not apply to any causes of action arising under the Securities Act, or the Exchange Act, or to any claim for which the federal courts have exclusive jurisdiction. Unless the Company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Advance Notice of Director Nominations and New Business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advance notice requirements for nominations for elections to our board of directors or for proposing matters that can be acted upon by stockholders at stockholder meetings.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of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“BBOT”.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At the Closing, the Company entered into an Amended and Restated Registration Rights Agreement, with certain stockholders, pursuant to which, among other things, such stockholders have specified rights to require the Company to register all or a portion of their shares of Common Stock under the Securities Act and provide customary demand as well as piggyback registration rights. The Company also entered into subscription agreements with certain investors which also contain certain registration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40634_8"/>
      <w:bookmarkEnd w:id="10"/>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will be qualified under the Trust Indenture Act of 1939, as amended, or the Trust Indenture Act. We use the term “trustee” to refer to either the trustee under the senior indenture or the trustee under the subordinated indenture,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or free writing prospectus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being offered, and if a series, the total amount authorized and the total amount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we will issue the series of debt securities in global form, and, if so, the terms and who the depository will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if any, we will pay additional amounts on any debt securities held by a person who is not a United States person for tax purposes, and whether we can redeem the debt securities if we have to pay such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annual interest rate,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subordination of any series of subordinated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payments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after which, the conditions upon which, and the price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restrict our ability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additional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distributions in respect of our capital stock or the capital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redeem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place restrictions on our subsidiaries’ ability to pay dividends, make distributions or transfer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engage in transactions with stockholders or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or sell stock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 a consolidation or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indenture will require us to maintain any interest coverage, fixed charge, cash flow-based, asset-based or other financial ratios;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material or special United States federal income tax considerations applicable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describing any book-entry features;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in the indenture on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offered at a price such that they will be deemed to be offered at an “original issue discount” as defined in paragraph (a) of Section 1273 of the Internal Revenue Code of 1986,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or free writing prospectus applicable to a particular series of debt securities, the following are events of default under the indentures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interest when due and payable and our failure continues for 90 days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premium or sinking fund payment, if any, when due and payable at maturity, upon redemption or repurchase or otherwise, and the time for payment has not been extended;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describe in each applicable prospectus supplement or free writing prospectus any additional events of default relating to the relevant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indentures or to appoint a receiver or trustee, or to seek other remedies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of the indenture for any series of debt securities that we may issue, we and the trustee may change an indenture without the consent of any holders with respect to the following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fix any ambiguity, defect or inconsistency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hereunder by a successor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and to make all appropriate changes for such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anything that does not materially adversely affect the interests of any holder of debt securities of any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stated maturity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or repurchase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otherwise specify in the applicable prospectus supplement or free writing prospectus, in denominations of $1,000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supplement or 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Ranking of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 </w:t>
      </w:r>
    </w:p>
    <w:p>
      <w:pPr>
        <w:pStyle w:val="TextBody"/>
        <w:bidi w:val="0"/>
        <w:spacing w:before="240" w:after="0"/>
        <w:jc w:val="left"/>
        <w:rPr>
          <w:rFonts w:ascii="Times New Roman" w:hAnsi="Times New Roman"/>
          <w:sz w:val="20"/>
        </w:rPr>
      </w:pPr>
      <w:r>
        <w:rPr>
          <w:rFonts w:ascii="Times New Roman" w:hAnsi="Times New Roman"/>
          <w:sz w:val="20"/>
        </w:rPr>
        <w:t xml:space="preserve">The senior debt securities will rank equally in right of payment to all our other senior unsecured debt. The senior indenture does not limit the amount of senior debt securities that we may issue. It also does not limit us from issuing any other secured or unsecured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40634_9"/>
      <w:bookmarkEnd w:id="11"/>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40634_10"/>
      <w:bookmarkEnd w:id="12"/>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The provisions described in this section, as well as those described under “</w:t>
      </w:r>
      <w:r>
        <w:rPr>
          <w:rFonts w:ascii="Times New Roman" w:hAnsi="Times New Roman"/>
          <w:i/>
          <w:sz w:val="20"/>
        </w:rPr>
        <w:t>Description of Capital Stock</w:t>
      </w:r>
      <w:r>
        <w:rPr>
          <w:rFonts w:ascii="Times New Roman" w:hAnsi="Times New Roman"/>
          <w:sz w:val="20"/>
        </w:rPr>
        <w:t>,” “</w:t>
      </w:r>
      <w:r>
        <w:rPr>
          <w:rFonts w:ascii="Times New Roman" w:hAnsi="Times New Roman"/>
          <w:i/>
          <w:sz w:val="20"/>
        </w:rPr>
        <w:t xml:space="preserve">Description of Debt Securities” </w:t>
      </w:r>
      <w:r>
        <w:rPr>
          <w:rFonts w:ascii="Times New Roman" w:hAnsi="Times New Roman"/>
          <w:sz w:val="20"/>
        </w:rPr>
        <w:t>and “</w:t>
      </w:r>
      <w:r>
        <w:rPr>
          <w:rFonts w:ascii="Times New Roman" w:hAnsi="Times New Roman"/>
          <w:i/>
          <w:sz w:val="20"/>
        </w:rPr>
        <w:t>Description of Warrants</w:t>
      </w:r>
      <w:r>
        <w:rPr>
          <w:rFonts w:ascii="Times New Roman" w:hAnsi="Times New Roman"/>
          <w:sz w:val="20"/>
        </w:rPr>
        <w:t xml:space="preserve">”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New York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 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40634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offered securities in and outside the U.S. (1) through underwriters or dealers, (2) directly to one or more purchasers, including to a limited number of institutional purchasers, to a single purchaser or to our affiliates and stockholders, (3) through agents or (4) through a combination of any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or dealers are used in the sale, the securities will be acquired by the underwriters or dealers for their own account and may be resold from time to time in one or more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transactions 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“at-the-market offerings,” within the meaning of Rule 415(a)(4) of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those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set forth the following information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managing underwriter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from the sale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and other items constituting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initial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commissions paid to agents.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Sale through Underwriters or Dealers </w:t>
      </w:r>
    </w:p>
    <w:p>
      <w:pPr>
        <w:pStyle w:val="TextBody"/>
        <w:bidi w:val="0"/>
        <w:spacing w:before="120" w:after="0"/>
        <w:jc w:val="left"/>
        <w:rPr>
          <w:rFonts w:ascii="Times New Roman" w:hAnsi="Times New Roman"/>
          <w:sz w:val="20"/>
        </w:rPr>
      </w:pPr>
      <w:r>
        <w:rPr>
          <w:rFonts w:ascii="Times New Roman" w:hAnsi="Times New Roman"/>
          <w:sz w:val="20"/>
        </w:rPr>
        <w:t xml:space="preserve">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securities, the underwriters may engage in transactions that stabilize, maintain or otherwise affect the price of the securities. Specifically, the underwriters may overallot in connection with the offering, creating a short position in the securities for their account. In addition, to cover overallotments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through dealers, we will sell the securities to them as principals. They may then resell those securities to the public at varying prices determined by the dealers at the time of resale.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and Sales through Agents </w:t>
      </w:r>
    </w:p>
    <w:p>
      <w:pPr>
        <w:pStyle w:val="TextBody"/>
        <w:bidi w:val="0"/>
        <w:spacing w:before="120" w:after="0"/>
        <w:jc w:val="left"/>
        <w:rPr>
          <w:rFonts w:ascii="Times New Roman" w:hAnsi="Times New Roman"/>
          <w:sz w:val="20"/>
        </w:rPr>
      </w:pPr>
      <w:r>
        <w:rPr>
          <w:rFonts w:ascii="Times New Roman" w:hAnsi="Times New Roman"/>
          <w:sz w:val="20"/>
        </w:rPr>
        <w:t xml:space="preserve">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Remarketing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Delayed Delivery Contracts </w:t>
      </w:r>
    </w:p>
    <w:p>
      <w:pPr>
        <w:pStyle w:val="TextBody"/>
        <w:bidi w:val="0"/>
        <w:spacing w:before="120" w:after="0"/>
        <w:jc w:val="left"/>
        <w:rPr>
          <w:rFonts w:ascii="Times New Roman" w:hAnsi="Times New Roman"/>
          <w:sz w:val="20"/>
        </w:rPr>
      </w:pPr>
      <w:r>
        <w:rPr>
          <w:rFonts w:ascii="Times New Roman" w:hAnsi="Times New Roman"/>
          <w:sz w:val="20"/>
        </w:rPr>
        <w:t xml:space="preserve">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40634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securities offered by this prospectus will be passed upon by Goodwin Procter LLP, San Francisco, California.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15" w:name="tx140634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BridgeBio Oncology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16" w:name="tx140634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This prospectus is part of the registration statement on Form S-3 filed with the SEC under the Securities Act but does not contain all of the information included in the registration statement or the exhibits.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Our SEC filings are available to the public on the internet at a website maintained by the SEC located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http://www.bbotx.com.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40634_15"/>
      <w:bookmarkEnd w:id="17"/>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which have been filed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 ended March 31, 2026, filed with the SEC on </w:t>
            </w:r>
            <w:hyperlink r:id="rId5">
              <w:r>
                <w:rPr>
                  <w:rStyle w:val="InternetLink"/>
                  <w:rFonts w:ascii="Times New Roman" w:hAnsi="Times New Roman"/>
                  <w:sz w:val="20"/>
                </w:rPr>
                <w:t>May 12, 2026</w:t>
              </w:r>
            </w:hyperlink>
            <w:r>
              <w:rPr>
                <w:rFonts w:ascii="Times New Roman" w:hAnsi="Times New Roman"/>
                <w:sz w:val="20"/>
              </w:rPr>
              <w:t xml:space="preserve"> and for the quarter ended June  30, 2026, filed with the SEC on </w:t>
            </w:r>
            <w:hyperlink r:id="rId6">
              <w:r>
                <w:rPr>
                  <w:rStyle w:val="InternetLink"/>
                  <w:rFonts w:ascii="Times New Roman" w:hAnsi="Times New Roman"/>
                  <w:sz w:val="20"/>
                </w:rPr>
                <w:t xml:space="preserve">August 11, 2026;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7">
              <w:r>
                <w:rPr>
                  <w:rStyle w:val="InternetLink"/>
                  <w:rFonts w:ascii="Times New Roman" w:hAnsi="Times New Roman"/>
                  <w:sz w:val="20"/>
                </w:rPr>
                <w:t>January 7, 2026,</w:t>
              </w:r>
            </w:hyperlink>
            <w:r>
              <w:rPr>
                <w:rFonts w:ascii="Times New Roman" w:hAnsi="Times New Roman"/>
                <w:sz w:val="20"/>
              </w:rPr>
              <w:t xml:space="preserve"> </w:t>
            </w:r>
            <w:hyperlink r:id="rId8">
              <w:r>
                <w:rPr>
                  <w:rStyle w:val="InternetLink"/>
                  <w:rFonts w:ascii="Times New Roman" w:hAnsi="Times New Roman"/>
                  <w:sz w:val="20"/>
                </w:rPr>
                <w:t>March  26, 2026,</w:t>
              </w:r>
            </w:hyperlink>
            <w:r>
              <w:rPr>
                <w:rFonts w:ascii="Times New Roman" w:hAnsi="Times New Roman"/>
                <w:sz w:val="20"/>
              </w:rPr>
              <w:t xml:space="preserve"> </w:t>
            </w:r>
            <w:hyperlink r:id="rId9">
              <w:r>
                <w:rPr>
                  <w:rStyle w:val="InternetLink"/>
                  <w:rFonts w:ascii="Times New Roman" w:hAnsi="Times New Roman"/>
                  <w:sz w:val="20"/>
                </w:rPr>
                <w:t>April  23, 2026,</w:t>
              </w:r>
            </w:hyperlink>
            <w:r>
              <w:rPr>
                <w:rFonts w:ascii="Times New Roman" w:hAnsi="Times New Roman"/>
                <w:sz w:val="20"/>
              </w:rPr>
              <w:t xml:space="preserve"> </w:t>
            </w:r>
            <w:hyperlink r:id="rId10">
              <w:r>
                <w:rPr>
                  <w:rStyle w:val="InternetLink"/>
                  <w:rFonts w:ascii="Times New Roman" w:hAnsi="Times New Roman"/>
                  <w:sz w:val="20"/>
                </w:rPr>
                <w:t>April  29, 2026,</w:t>
              </w:r>
            </w:hyperlink>
            <w:r>
              <w:rPr>
                <w:rFonts w:ascii="Times New Roman" w:hAnsi="Times New Roman"/>
                <w:sz w:val="20"/>
              </w:rPr>
              <w:t xml:space="preserve"> and </w:t>
            </w:r>
            <w:hyperlink r:id="rId11">
              <w:r>
                <w:rPr>
                  <w:rStyle w:val="InternetLink"/>
                  <w:rFonts w:ascii="Times New Roman" w:hAnsi="Times New Roman"/>
                  <w:sz w:val="20"/>
                </w:rPr>
                <w:t>June 22,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contained in (i)  the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 No. 001-41955), filed by the registrant with the SEC under Section 12(b) of the Exchange Act on February 8, 2024, including any amendments or reports filed for the purpose of updating such description and (ii) </w:t>
            </w:r>
            <w:hyperlink r:id="rId13">
              <w:r>
                <w:rPr>
                  <w:rStyle w:val="InternetLink"/>
                  <w:rFonts w:ascii="Times New Roman" w:hAnsi="Times New Roman"/>
                  <w:sz w:val="20"/>
                </w:rPr>
                <w:t>Exhibit 4.2—</w:t>
              </w:r>
            </w:hyperlink>
            <w:r>
              <w:rPr>
                <w:rFonts w:ascii="Times New Roman" w:hAnsi="Times New Roman"/>
                <w:sz w:val="20"/>
              </w:rPr>
              <w:t xml:space="preserve">Description of Securities to our Annual Report on Form 10-K, as filed with the SEC on March 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we file with the SEC pursuant to Sections 13(a), 13(c), 14 or 15(d) of the Exchange Act, except as to any portion of any report or documents that is not deemed filed under such provisions, (i) on or after the date of filing of the registration statement containing this prospectus and prior to the effectiveness of the registration statement and (ii) on or after the date of this prospectus until the earlier of the date on which all of the securities registered hereunder have been sold or the registration statement of which this prospectus is a part has been withdrawn, shall be deemed incorporated by reference in this prospectus and to be a part of this prospectus from the date of filing of those documents and will be automatically updated and, to the extent described above, supersede information contained or incorporated by reference in this prospectus and previously filed documents that are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prospectus shall be deemed to incorporate information furnished but not filed with the SEC pursuant to Item 2.02, 7.01 or 9.01 of Form 8-K. Upon written or oral request, we will provide without charge to each person, including any beneficial owner, to whom a copy of the prospectus is delivered a copy of any or all of the reports or documents incorporated by reference herein (other than exhibits to such documents, unless such exhibits are specifically incorporated by reference herein). You may request a copy of these filings, at no cost, by writing or telephoning us at the following address or phone number: </w:t>
      </w:r>
    </w:p>
    <w:p>
      <w:pPr>
        <w:pStyle w:val="TextBody"/>
        <w:bidi w:val="0"/>
        <w:spacing w:before="120" w:after="0"/>
        <w:jc w:val="center"/>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256 E. Grand Avenue, Suite 104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(650) 405-4770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Investors@BBOTx.com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48"/>
        </w:rPr>
      </w:pPr>
      <w:r>
        <w:rPr>
          <w:rFonts w:ascii="Times New Roman" w:hAnsi="Times New Roman"/>
          <w:b/>
          <w:sz w:val="48"/>
        </w:rPr>
        <w:t xml:space="preserve">BridgeBio Oncology Therapeutics, Inc. </w:t>
      </w:r>
    </w:p>
    <w:p>
      <w:pPr>
        <w:pStyle w:val="TextBody"/>
        <w:bidi w:val="0"/>
        <w:spacing w:before="2400" w:after="0"/>
        <w:jc w:val="center"/>
        <w:rPr>
          <w:rFonts w:ascii="Times New Roman" w:hAnsi="Times New Roman"/>
          <w:b/>
          <w:sz w:val="28"/>
        </w:rPr>
      </w:pPr>
      <w:r>
        <w:rPr>
          <w:rFonts w:ascii="Times New Roman" w:hAnsi="Times New Roman"/>
          <w:b/>
          <w:sz w:val="28"/>
        </w:rPr>
        <w:t xml:space="preserve">$500,000,000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1200" w:after="0"/>
        <w:jc w:val="center"/>
        <w:rPr/>
      </w:pPr>
      <w:r>
        <w:rPr/>
        <w:t>    </w:t>
      </w: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SEPTEMBER 1,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BridgeBio Oncology Therapeutics, Inc.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$200,000,000 </w:t>
      </w:r>
    </w:p>
    <w:p>
      <w:pPr>
        <w:pStyle w:val="TextBody"/>
        <w:bidi w:val="0"/>
        <w:spacing w:before="0" w:after="0"/>
        <w:ind w:left="960" w:right="960" w:hanging="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entered into a Sales Agreement (the “Sales Agreement”), with Leerink Partners LLC (“Leerink Partners”) and Cantor Fitzgerald &amp; Co. (“Cantor” and together with Leerink Partners, the “Sales Agents”), dated September 1, 2026, relating to the sale of shares of our common stock, $0.0001 par value per share (the “common stock”). In accordance with the terms of the Sales Agreement, pursuant to this prospectus, we may offer and sell shares of our common stock having an aggregate offering price of up to $200,000,000 from time to time through the Sales Agents, acting as our sales agents.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Market under the symbol “BBOT.” On August 31, 2026, the closing price of our common stock, as reported on The Nasdaq Global Market, was $8.80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Sales of our common stock, if any, under this prospectus will be made by any method permitted that is deemed to be an “at the market offering” as defined in Rule 415(a)(4) promulgated under the Securities Act of 1933, as amended, or the Securities Act. The Sales Agents are not required to sell any specific number or dollar amount of securities, but will act as sales agents using commercially reasonable efforts consistent with their normal trading and sales practices to sell on our behalf all of the shares of common stock requested to be sold by us, on mutually agreed terms between the Sales Agents and us. There is no arrangement for funds to be received in any escrow, trust or similar arrangement.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The Sales Agents will be entitled to compensation under the terms of the Sales Agreement at a commission rate of up to 3.0% of the gross proceeds of any shares of common stock sold under the Sales Agreement. In connection with the sale of our common stock on our behalf, the Sales Agents will be deemed to be “underwriters” within the meaning of the Securities Act and the compensation of the Sales Agents may be deemed to be underwriting commissions or discounts. See “</w:t>
      </w:r>
      <w:r>
        <w:rPr>
          <w:rFonts w:ascii="Times New Roman" w:hAnsi="Times New Roman"/>
          <w:i/>
          <w:sz w:val="20"/>
        </w:rPr>
        <w:t>Plan of Distribution</w:t>
      </w:r>
      <w:r>
        <w:rPr>
          <w:rFonts w:ascii="Times New Roman" w:hAnsi="Times New Roman"/>
          <w:sz w:val="20"/>
        </w:rPr>
        <w:t xml:space="preserve">” beginning on page S-16 for additional information regarding the compensation to be paid to the Sales Agents. We have also agreed to provide indemnification and contribution to the Sales Agents with respect to certain liabilities, including liabilities under the Securities Act or the Securities Exchange Act of 1934, as amended (the “Exchange Act”).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an “emerging growth company” and a “smaller reporting company” as defined under the U.S. federal securities laws and, as such, are subject to certain reduced public company reporting requirements. See “</w:t>
      </w:r>
      <w:r>
        <w:rPr>
          <w:rFonts w:ascii="Times New Roman" w:hAnsi="Times New Roman"/>
          <w:i/>
          <w:sz w:val="20"/>
        </w:rPr>
        <w:t>Prospectus Summary—Implications of Being an Emerging Growth Company and a Smaller Reporting Company</w:t>
      </w:r>
      <w:r>
        <w:rPr>
          <w:rFonts w:ascii="Times New Roman" w:hAnsi="Times New Roman"/>
          <w:sz w:val="20"/>
        </w:rPr>
        <w:t xml:space="preserve">.” This prospectus complies with the requirements that apply to an issuer that is an emerging growth company and a smaller reporting company.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4"/>
        </w:rPr>
        <w:t>Investing in our securities involves certain risks. You should review carefully the risks and uncertainties described under the heading “</w:t>
      </w:r>
      <w:hyperlink w:anchor="supptx140634_5">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on page S-9 of this prospectus and under any similar heading in the documents that are incorporated by reference into this prospectus, as well as “</w:t>
      </w:r>
      <w:r>
        <w:rPr>
          <w:rFonts w:ascii="Times New Roman" w:hAnsi="Times New Roman"/>
          <w:b/>
          <w:i/>
          <w:sz w:val="24"/>
        </w:rPr>
        <w:t>Cautionary Note Regarding Forward-Looking Statements</w:t>
      </w:r>
      <w:r>
        <w:rPr>
          <w:rFonts w:ascii="Times New Roman" w:hAnsi="Times New Roman"/>
          <w:sz w:val="24"/>
        </w:rPr>
        <w:t xml:space="preserve">” </w:t>
      </w:r>
      <w:r>
        <w:rPr>
          <w:rFonts w:ascii="Times New Roman" w:hAnsi="Times New Roman"/>
          <w:b/>
          <w:sz w:val="24"/>
        </w:rPr>
        <w:t xml:space="preserve">on page S-7 of this prospectus. You should read the entire prospectus and any applicable prospectus supplement carefully before you make your investment decision.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 securities to be issued under this prospectus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3368"/>
        <w:gridCol w:w="100"/>
        <w:gridCol w:w="3369"/>
        <w:gridCol w:w="100"/>
        <w:gridCol w:w="3268"/>
      </w:tblGrid>
      <w:tr>
        <w:trPr/>
        <w:tc>
          <w:tcPr>
            <w:tcW w:w="336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b/>
              </w:rPr>
            </w:pPr>
            <w:r>
              <w:rPr>
                <w:b/>
              </w:rPr>
              <w:t>Leerink Partners</w:t>
            </w:r>
          </w:p>
        </w:tc>
        <w:tc>
          <w:tcPr>
            <w:tcW w:w="100"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right"/>
              <w:rPr>
                <w:b/>
              </w:rPr>
            </w:pPr>
            <w:r>
              <w:rPr>
                <w:b/>
              </w:rPr>
              <w:t>Cantor</w:t>
            </w:r>
          </w:p>
        </w:tc>
      </w:tr>
    </w:tbl>
    <w:p>
      <w:pPr>
        <w:pStyle w:val="TextBody"/>
        <w:bidi w:val="0"/>
        <w:spacing w:before="480" w:after="0"/>
        <w:ind w:left="960" w:right="960" w:hanging="0"/>
        <w:jc w:val="center"/>
        <w:rPr>
          <w:rFonts w:ascii="Times New Roman" w:hAnsi="Times New Roman"/>
          <w:b/>
          <w:sz w:val="20"/>
        </w:rPr>
      </w:pPr>
      <w:r>
        <w:rPr>
          <w:rFonts w:ascii="Times New Roman" w:hAnsi="Times New Roman"/>
          <w:b/>
          <w:sz w:val="20"/>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
      <w:bookmarkEnd w:id="18"/>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2">
              <w:r>
                <w:rPr>
                  <w:rStyle w:val="InternetLink"/>
                  <w:rFonts w:ascii="Times New Roman" w:hAnsi="Times New Roman"/>
                  <w:sz w:val="20"/>
                </w:rPr>
                <w:t>PROSPECTUS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4">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8">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9">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10">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11">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12">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ptx140634_13">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supptx140634_1"/>
      <w:bookmarkEnd w:id="19"/>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accompanying base prospectus are part of a registration statement on Form S-3 that we filed with the Securities and Exchange Commission (the “SEC”), using a “shelf” registration process. Under this prospectus, we may offer shares of our common stock having an aggregate offering price of up to $200,000,000 from time to time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Before buying any of the shares of common stock offered hereby, we urge you to read carefully this prospectus, the accompanying base prospectus and all of the information incorporated herein by reference in this prospectus and the accompanying base prospectus, as well as the additional information described below under the heading “</w:t>
      </w:r>
      <w:r>
        <w:rPr>
          <w:rFonts w:ascii="Times New Roman" w:hAnsi="Times New Roman"/>
          <w:i/>
          <w:sz w:val="20"/>
        </w:rPr>
        <w:t>Incorporation by Reference</w:t>
      </w:r>
      <w:r>
        <w:rPr>
          <w:rFonts w:ascii="Times New Roman" w:hAnsi="Times New Roman"/>
          <w:sz w:val="20"/>
        </w:rPr>
        <w:t xml:space="preserve">.”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this offering of our common stock in two separate documents that are bound together: (1) this prospectus,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is inconsistent with the accompanying base prospectus, you should rely on this prospectus. 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Sales Agents have not, authorized anyone to provide you with information other than the information that we have provided or incorporated by reference in this prospectus, the accompanying base prospectus or any other prospectus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prospectus, the terms “BBOT,” “we,” “our” and “us” refer to BridgeBio Oncology Therapeutics, Inc., a Delaware corporation, and its consolidated subsidiaries, unless otherwise specified or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0" w:name="supptx140634_2"/>
      <w:bookmarkEnd w:id="20"/>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common stock. You should read this prospectus and the accompanying base prospectus carefully, especially the risks of investing in our common stock discussed under “Risk Factors” beginning on page S-9 of this prospectus, page 4 of the accompanying base prospectus, and our most recent Annual Report on Form 10-K and any subsequent Quarterly Reports on Form 10-Q or Current Reports on Form 8-K we file after the date of this prospectus, which are incorporated by reference in this prospectus, along with our consolidated financial statements and notes to those consolidated financial statements and the other information incorporated by reference in this prospectus and the accompanying base prospectus,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BBOT is a clinical-stage biotechnology company advancing a next-generation pipeline of novel small-molecule therapeutics targeting RAS and Phosphoinositide 3-kinase (“PI3K”). Our mission is to accelerate scientific and medical breakthroughs and deliver well-tolerated medicines with greater efficacy and safety to people with the deadliest cancers. We are advancing our next-generation RAS-pathway targeted small molecules with a focus on optimized target coverage for patients with tumors driven by RAS and PI3Kα and a synergistic portfolio that is designed to enable targeted KRAS combinations.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pipeline consists of three orally bioavailable small molecule inhibitors that were designed and optimized within BBOT with the goal of providing patients with significant benefit over standard of care. Additionally, we believe BBOT has the opportunity to provide further benefit to patients with KRAS mutant tumors through combination of our inhibitors. We believe our pipeline has the opportunity to address a large number of patients afflicted with metastatic cancer.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63895" cy="31680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5763895" cy="31680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BBO-8520 is an orally bioavailable small molecule direct inhibitor targeting both the ON and OFF states of KRAS. The U.S. Food and Drug Administration (“FDA”) has granted Fast Track designation to BBO-8520 for the treatment of adult patients with previously treated, KRAS G12C-mutated metastatic non-small cell lung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cancer (“NSCLC”). ONKORAS-101 is an open-label, multi-center Phase 1a/1b study designed to evaluate the safety, tolerability, preliminary antitumor activity, and pharmacokinetics of BBO-8520 as a single agent and in combination with pembrolizumab in patients with KRASG12C mutant NSCLC. BBO-8520 in combination with pembrolizumab, at active dose levels, demonstrated promising efficacy data and a distinct safety profile, including a potentially differentiated liver toxicity profile. Updated clinical data are expected in the second half of 2026 and an internal combination study with BBO-10203 opened in April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BBO-11818 is an orally bioavailable small molecule pan-KRAS inhibitor that targets mutant KRAS in both the ON and OFF states. On April 20, 2026, we announced that BBOT was granted U.S. FDA Fast Track designation for BBO-11818 for the treatment of adult patients with advanced KRAS-mutant PDAC. Updated Phase 1 clinical data are expected in the second half of 2026. An internal combination study with BBO-10203 opened in July 2026.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BBO-10203 is an orally bioavailable small molecule with a novel mechanism of action designed to inhibit the physical interaction between RAS and PI3Kα, inhibiting RAS-driven PI3Kα-AKT signaling in tumors. Updated clinical data are expected in the second half of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was established in August 2016 by BridgeBio Pharma Inc. (“BridgeBio Pharma”) under the name, TheRas, Inc. (d/b/a BridgeBio Oncology Therapeutics), a Delaware corporation (“TheRas”). We operated as part of BridgeBio Pharma through April 30, 2024. TheRas entered into a business combination agreement, dated February 28, 2025 and amended on June 17, 2025 (as amended, the “Business Combination Agreement”) with Helix Acquisition Corp. II, a Cayman Islands exempted company (“Helix”) listed on Nasdaq under the ticker symbol “HLXB.” On August 11, 2025, pursuant to the Business Combination Agreement, Helix II Merger Sub, Inc., a Delaware corporation and wholly owned subsidiary of Helix (“Merger Sub”), merged with and into TheRas, with TheRas surviving the merger as a wholly-owned subsidiary of Helix. In connection with the Merger, Helix changed its name to BridgeBio Oncology Therapeutics, Inc., and the combined company became listed on Nasdaq under the new ticker symbol “BBOT.” Our principal executive offices are located at 256 E. Grand Avenue, Suite 104, South San Francisco, CA 94080. Our telephone number is (650) 405-4770.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web page address is https://bbotx.com. Our investor relations website is located at </w:t>
        <w:br/>
        <w:t xml:space="preserve">https://investors.bbotx.com. We make available free of charge on our investor relations website under “SEC Filings” our Annual Reports on Form 10-K, Quarterly Reports on Form 10-Q, Current Reports on Form 8-K, including exhibits, our directors’ and officers’ Section 16 Reports and any amendments to those reports after filing or furnishing such materials to the SEC. References to our website address do not constitute incorporation by reference of the information contained on the website, and the information contained on the website is not part of this document or any other document that we file with or furnish to the SEC.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Jumpstart Our Business Startups Act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(i) being permitted to present only two years of audited financial statements and selected financial data and only two years of related “</w:t>
      </w:r>
      <w:r>
        <w:rPr>
          <w:rFonts w:ascii="Times New Roman" w:hAnsi="Times New Roman"/>
          <w:i/>
          <w:sz w:val="20"/>
          <w:bdr w:val="single" w:sz="8" w:space="1" w:color="000000"/>
        </w:rPr>
        <w:t>Management’s Discussion and Analysis of Financial Condition and Results of Operations</w:t>
      </w:r>
      <w:r>
        <w:rPr>
          <w:rFonts w:ascii="Times New Roman" w:hAnsi="Times New Roman"/>
          <w:sz w:val="20"/>
          <w:bdr w:val="single" w:sz="8" w:space="1" w:color="000000"/>
        </w:rPr>
        <w:t xml:space="preserve">” in our periodic reports and registration statements, subject to certain exceptions, (ii) not being required to have our internal control over financial reporting be audited by our independent registered public accounting firm pursuant to Section 404 of the Sarbanes-Oxley Act of 2002, as amended (the “Sarbanes-Oxley Act”), (iii) certain reduced disclosure requirements related to the disclosure of executive compensation in this prospectus and in our periodic reports and proxy statements, (iv) not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required to comply with any requirement that may be adopted by the Public Company Accounting Oversight Board (the “PCAOB”) regarding mandatory audit firm rotation or a supplement to the auditor’s report providing additional information about the audit and the financial statements, and (v) exemptions from the requirement that we hold a nonbinding advisory vote on executive compensation and any golden parachute payments. We may take advantage of these exemptions until we are no longer an emerging growth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in any three-year period, more than $1.0 billion in non-convertible debt securities; and (iv) December 31, 2029 (the last day of the fiscal year ending after the fifth anniversary of Helix’s initial public offering in February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take advantage of certain of the reduced disclosure obligations in this prospectus and may elect to take advantage of other reduced reporting requirements in our future filings with the SEC. As a result, the information that we provide to holders of our common stock may be different than what you might receive from other public reporting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$250 million or more measured on the last business day of our second fiscal quarter, or our annual revenues are less than $100 million during the most recently completed fiscal year and our common stock held by non-affiliates is $700 million or more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1" w:name="supptx140634_3"/>
      <w:bookmarkEnd w:id="21"/>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Shares of our common stock having an aggregate offering price of up to $200,000,000.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w:t>
            </w:r>
            <w:r>
              <w:rPr>
                <w:rFonts w:ascii="Times New Roman" w:hAnsi="Times New Roman"/>
                <w:sz w:val="20"/>
              </w:rPr>
              <w:t xml:space="preserve"> </w:t>
            </w:r>
            <w:r>
              <w:rPr>
                <w:rFonts w:ascii="Times New Roman" w:hAnsi="Times New Roman"/>
                <w:b/>
                <w:sz w:val="20"/>
              </w:rPr>
              <w:t>outstanding after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Up to 102,842,274 shares, assuming sales of 22,727,272 shares of our common stock in this offering at an assumed offering price of $8.80 per share, which was the last reported sale price of our common stock on The Nasdaq Global Market on August 31, 2026. The actual number of shares of common stock issued will vary depending on how many shares of common stock we choose to sell and the prices at which such sales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Plan of Distribution</w:t>
            </w:r>
            <w:r>
              <w:rPr>
                <w:rFonts w:ascii="Times New Roman" w:hAnsi="Times New Roman"/>
                <w:sz w:val="20"/>
              </w:rPr>
              <w:t xml:space="preserve"> </w:t>
            </w:r>
          </w:p>
        </w:tc>
        <w:tc>
          <w:tcPr>
            <w:tcW w:w="6329" w:type="dxa"/>
            <w:tcBorders/>
          </w:tcPr>
          <w:p>
            <w:pPr>
              <w:pStyle w:val="TableContents"/>
              <w:bidi w:val="0"/>
              <w:spacing w:before="0" w:after="283"/>
              <w:jc w:val="left"/>
              <w:rPr/>
            </w:pPr>
            <w:r>
              <w:rPr/>
              <w:t>“</w:t>
            </w:r>
            <w:r>
              <w:rPr/>
              <w:t>At the market offering” that may be made from time to time on The Nasdaq Global Market or such other national securities exchange on which our common stock is then listed, through our Sales Agents. See the section entitled “</w:t>
            </w:r>
            <w:r>
              <w:rPr>
                <w:i/>
              </w:rPr>
              <w:t>Plan of Distribution</w:t>
            </w:r>
            <w:r>
              <w:rPr/>
              <w:t xml:space="preserve">” on page S-16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We currently intend to use the net proceeds from this offering, if any, together with our existing cash, cash equivalents and marketable securities, to fund research and clinical development of current or additional product candidates, and the remainder for working capital and other general corporate purposes. See “</w:t>
            </w:r>
            <w:r>
              <w:rPr>
                <w:i/>
              </w:rPr>
              <w:t>Use of Proceeds</w:t>
            </w:r>
            <w:r>
              <w:rPr/>
              <w:t xml:space="preserve">” on page S-12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You should read the “</w:t>
            </w:r>
            <w:r>
              <w:rPr>
                <w:i/>
              </w:rPr>
              <w:t>Risk Factors</w:t>
            </w:r>
            <w:r>
              <w:rPr/>
              <w:t xml:space="preserve">” section of this prospectus beginning on page S-9 and other information included in, or incorporated by reference into, this prospectus and the accompanying base prospectus for a discussion of factors to consider before deciding to purchase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Market symbol</w:t>
            </w:r>
            <w:r>
              <w:rPr>
                <w:rFonts w:ascii="Times New Roman" w:hAnsi="Times New Roman"/>
                <w:sz w:val="20"/>
              </w:rPr>
              <w:t xml:space="preserve"> </w:t>
            </w:r>
          </w:p>
        </w:tc>
        <w:tc>
          <w:tcPr>
            <w:tcW w:w="6329" w:type="dxa"/>
            <w:tcBorders/>
          </w:tcPr>
          <w:p>
            <w:pPr>
              <w:pStyle w:val="TableContents"/>
              <w:bidi w:val="0"/>
              <w:spacing w:before="0" w:after="283"/>
              <w:jc w:val="left"/>
              <w:rPr/>
            </w:pPr>
            <w:r>
              <w:rPr/>
              <w:t>“</w:t>
            </w:r>
            <w:r>
              <w:rPr/>
              <w:t xml:space="preserve">BBOT”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information in this prospectus related to the number of shares of our common stock to be outstanding immediately after this offering is based on 80,115,002 shares of our common stock outstanding as of June 30, 2026. The number of shares outstanding as of June 30, 2026 as used throughout this prospectus,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12,600,655 shares of common stock issuable upon the exercise of stock options outstanding as of June 30, 2026, at a weighted average exercise price of $8.42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65,350 shares of common stock issuable upon the exercise of stock options granted subsequent to June 30, 2026, at a weighted average exercise price of $9.28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282,400 shares of common stock issuable upon the vesting and settlement of outstanding restricted stock unit awards as of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shares of common stock issuable upon the vesting and settlement of outstanding restricted stock unit awards granted subsequent to June 30,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748,841 shares of common stock available for future issuance under our 2025 Stock Option and Incentive Plan (the “2025 Plan”) as of June 30,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1,808,313 shares of common stock available for future issuance under our 2025 Employee Stock Purchase Plan (the “ESPP”)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948,915 shares of common stock available for future issuance under our 2025 Inducement Plan (the “Inducement Plan”) as of June 30,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all information contained in this prospectus (i) assumes no exercise of stock options after June 30, 2026 and (ii) reflects an assumed public offering price of $8.80, which was the last reported sale price of our common stock on The Nasdaq Global Market on August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supptx140634_4"/>
      <w:bookmarkEnd w:id="22"/>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the accompanying base prospectus and the documents incorporated by reference in this prospectus and the accompanying base prospectus, include and incorporate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or incorporated by reference in this prospectus and the accompanying base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“anticipate,” “believe,” “contemplate,” “continue,” “could,” “estimate,” “expect,” “intends,” “may,” “might,” “plan,” “possible,” “potential,” “predict,” “project,” “should,”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“Risk Factors” and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related to the success, cost and timing of product development activities, including timing of initiation, completion and data readouts for clinical trials and the potential approval of our product candidates, including the progress and results of the ONKORAS-101, BREAKER-101 and KONQUER-101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and therapeutic potential of BBO-8520, BBO-10203 and BBO-11818;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therapeutic and curative potential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projected financial information, anticipated growth rate and market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our common stock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liquidity and trading volatility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raise financing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recruiting, or changes required in, officers, key employees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current and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intellectual property protection for our technologies and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current and any potential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international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lawsuits and penalties related to our technologies, product candidates and current and future relationships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and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manage the growth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compete effectively with existing competitors and new market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implement and maintain effective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supply chain disruptions;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unfavorable global economic conditions, including inflationary pressures, market volatility, acts of war and civil and political unrest;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detailed under the section entitled “Risk Factors”. </w:t>
            </w:r>
          </w:p>
        </w:tc>
      </w:tr>
    </w:tbl>
    <w:p>
      <w:pPr>
        <w:pStyle w:val="TextBody"/>
        <w:bidi w:val="0"/>
        <w:spacing w:before="240" w:after="0"/>
        <w:jc w:val="left"/>
        <w:rPr>
          <w:rFonts w:ascii="Times New Roman" w:hAnsi="Times New Roman"/>
          <w:sz w:val="20"/>
        </w:rPr>
      </w:pPr>
      <w:r>
        <w:rPr>
          <w:rFonts w:ascii="Times New Roman" w:hAnsi="Times New Roman"/>
          <w:sz w:val="20"/>
        </w:rPr>
        <w:t>These forward-looking statements are based on information available as of the date of this prospectus and current expectations, forecasts and assumptions, and involve a number of judgments, risks and uncertainties. These and other factors that could cause actual results to differ from those implied by the forward-looking statements in this prospectus are more fully described under the heading “</w:t>
      </w:r>
      <w:r>
        <w:rPr>
          <w:rFonts w:ascii="Times New Roman" w:hAnsi="Times New Roman"/>
          <w:i/>
          <w:sz w:val="20"/>
        </w:rPr>
        <w:t>Risk Factors</w:t>
      </w:r>
      <w:r>
        <w:rPr>
          <w:rFonts w:ascii="Times New Roman" w:hAnsi="Times New Roman"/>
          <w:sz w:val="20"/>
        </w:rPr>
        <w:t>” and elsewhere in this prospectus. The risks described under the heading “</w:t>
      </w:r>
      <w:r>
        <w:rPr>
          <w:rFonts w:ascii="Times New Roman" w:hAnsi="Times New Roman"/>
          <w:i/>
          <w:sz w:val="20"/>
        </w:rPr>
        <w:t>Risk Factors</w:t>
      </w:r>
      <w:r>
        <w:rPr>
          <w:rFonts w:ascii="Times New Roman" w:hAnsi="Times New Roman"/>
          <w:sz w:val="20"/>
        </w:rPr>
        <w:t xml:space="preserve">” are not exhaustive. New risk factors emerge from time to time and it is not possible to predict all such risk factors, nor can we assess the impact of all such risk factors on its business, or the extent to which any factor or combination of factors may cause actual results to differ materially from those contained in any forward-looking statements. All forward-looking statements attributable to us or persons acting on their behalf are expressly qualified in their entirety by the foregoing cautionary statements. We undertake no obligations to update or revise publicly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supptx140634_5"/>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you decide to invest in our common stock, you should carefully consider the risks and uncertainties described below and in our most recent Annual Report on Form 10-K, and any subsequent Quarterly Reports on Form 10-Q or Current Reports on Form 8-K we file after the date of this prospectus, together with all other information contained in this prospectus, the accompanying base prospectus, and in our filings with the SEC that we have incorporated by reference in this prospectus and the accompanying base prospectus. If any of the following risks actually occur,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Risks Related To Our Common Stock And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common stock in this offering, you may suffer immediate and substantial dilution of your investment. </w:t>
      </w:r>
    </w:p>
    <w:p>
      <w:pPr>
        <w:pStyle w:val="TextBody"/>
        <w:bidi w:val="0"/>
        <w:spacing w:before="120" w:after="0"/>
        <w:jc w:val="left"/>
        <w:rPr>
          <w:rFonts w:ascii="Times New Roman" w:hAnsi="Times New Roman"/>
          <w:sz w:val="20"/>
        </w:rPr>
      </w:pPr>
      <w:r>
        <w:rPr>
          <w:rFonts w:ascii="Times New Roman" w:hAnsi="Times New Roman"/>
          <w:sz w:val="20"/>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See the section entitled “</w:t>
      </w:r>
      <w:r>
        <w:rPr>
          <w:rFonts w:ascii="Times New Roman" w:hAnsi="Times New Roman"/>
          <w:i/>
          <w:sz w:val="20"/>
        </w:rPr>
        <w:t>Dilution</w:t>
      </w:r>
      <w:r>
        <w:rPr>
          <w:rFonts w:ascii="Times New Roman" w:hAnsi="Times New Roman"/>
          <w:sz w:val="20"/>
        </w:rPr>
        <w:t xml:space="preserve">” below for a more detailed illustration of the dilution you would incur if you participate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use them in ways that you and other stockholders may not approve. </w:t>
      </w:r>
    </w:p>
    <w:p>
      <w:pPr>
        <w:pStyle w:val="TextBody"/>
        <w:bidi w:val="0"/>
        <w:spacing w:before="120" w:after="0"/>
        <w:jc w:val="left"/>
        <w:rPr>
          <w:rFonts w:ascii="Times New Roman" w:hAnsi="Times New Roman"/>
          <w:sz w:val="20"/>
        </w:rPr>
      </w:pPr>
      <w:r>
        <w:rPr>
          <w:rFonts w:ascii="Times New Roman" w:hAnsi="Times New Roman"/>
          <w:sz w:val="20"/>
        </w:rPr>
        <w:t>We currently expect to use the net proceeds of this offering, if any, to fund research and clinical development of current or additional product candidates, and the remainder for working capital and other general corporate purposes.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w:t>
      </w:r>
      <w:r>
        <w:rPr>
          <w:rFonts w:ascii="Times New Roman" w:hAnsi="Times New Roman"/>
          <w:i/>
          <w:sz w:val="20"/>
        </w:rPr>
        <w:t>Use of Proceeds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securities convertible into or exchangeable for our common stock in the public markets, or the perception that such sales could occur,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we will issue and gross proceeds resulting from those sales,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a designated Sales Agent at any time throughout the term of the Sales Agreement. The number of shares that are sold by such Sales Agent after delivering a placement notice will fluctuate based on the market price of our common stock during the sales period and limits we set with such Sales Agent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common stock may be volatile and fluctuate substantially, which could result in substantial losses for purchasers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is likely to be highly volatile and subject to wide fluctuations in response to various factors, many of which we cannot control. The stock market in general, and pharmaceutical and biotechnology companies in particular, have experienced extreme price and volume fluctuations that have often been unrelated or disproportionate to the operating performance of these companies. As a result of this volatility, purchasers of our common stock could incur substantial losses. Broad market and industry factors may negatively affect the market price of our common stock, regardless of our actual operating performance, which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results of INDs, preclinical studies and clinical trials of our product candidates or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competitive products or announcements by potential competitors of their product development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our products or product candidates or our competitors’ products or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our growth rate relative to its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U.S.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our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acquisitions, strategic collaborations, joint ventures, collaborations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estimates as to financial results, development timelines or recommendations by securities analysts;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the valuation of companies perceived by investors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in the pharmaceutical and biotechnology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 price and volume fluctuations attributable to inconsistent trading volume levels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shares of our common stock by us, our insiders or our other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public health emergencies, natural disasters, or geopolitical events, including civil or political unrest or military conflicts;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political, industry and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prospectus and listed under the caption “Risk Factors” in our most recent Annual Report on Form 10-K.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stock market in general, the Nasdaq Global Market and pharmaceutical and biotechnology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The realization of any of the above risks or any of a broad range of other risks, including those described in this prospectus and our most recent Annual Report on Form 10-K, could have a significant and material adverse impact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supptx140634_6"/>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$200,000,000 from time to time under this prospectus. The amount of the net proceeds to us from this offering will depend upon the number of shares of our common stock sold and the price at which they are sold. There can be no assurance that we will be able to sell any shares under or fully utilize the Sales Agreement with the Sales Agents.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the net proceeds from this offering, if any, to fund research and clinical development of current or additional product candidates, and the remainder for working capital and other general corporate purposes. We have not determined the amount of net proceeds to be used specifically for such purposes. As a result, management will retain broad discretion over the allocation of net proceeds. </w:t>
      </w:r>
    </w:p>
    <w:p>
      <w:pPr>
        <w:pStyle w:val="TextBody"/>
        <w:bidi w:val="0"/>
        <w:spacing w:before="240" w:after="0"/>
        <w:jc w:val="left"/>
        <w:rPr>
          <w:rFonts w:ascii="Times New Roman" w:hAnsi="Times New Roman"/>
          <w:sz w:val="20"/>
        </w:rPr>
      </w:pPr>
      <w:r>
        <w:rPr>
          <w:rFonts w:ascii="Times New Roman" w:hAnsi="Times New Roman"/>
          <w:sz w:val="20"/>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the Sales Agents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w:t>
      </w:r>
      <w:r>
        <w:rPr>
          <w:rFonts w:ascii="Times New Roman" w:hAnsi="Times New Roman"/>
          <w:i/>
          <w:sz w:val="20"/>
        </w:rPr>
        <w:t>Risk Factors</w:t>
      </w:r>
      <w:r>
        <w:rPr>
          <w:rFonts w:ascii="Times New Roman" w:hAnsi="Times New Roman"/>
          <w:sz w:val="20"/>
        </w:rPr>
        <w:t xml:space="preserve">” in this prospectus, the accompanying base prospectus, and in the documents incorporated by reference herein and therein.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w:t>
      </w:r>
    </w:p>
    <w:p>
      <w:pPr>
        <w:pStyle w:val="TextBody"/>
        <w:bidi w:val="0"/>
        <w:spacing w:before="240" w:after="0"/>
        <w:jc w:val="left"/>
        <w:rPr>
          <w:rFonts w:ascii="Times New Roman" w:hAnsi="Times New Roman"/>
          <w:sz w:val="20"/>
        </w:rPr>
      </w:pPr>
      <w:r>
        <w:rPr>
          <w:rFonts w:ascii="Times New Roman" w:hAnsi="Times New Roman"/>
          <w:sz w:val="20"/>
        </w:rPr>
        <w:t xml:space="preserve">Pending our use of the net proceeds from this offering, we intend to invest the net proceeds in a variety of capital preservation investments, including short-term, investment-grade, interest-bearing instruments and U.S.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supptx140634_7"/>
      <w:bookmarkEnd w:id="25"/>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this offering, your ownership interest will be diluted immediately to the extent of the difference between the public offering price per share and the as-adjusted net tangible book value per share of our common stock after giving effect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2026, we had net tangible book value of approximately $323.1 million, or $4.03 per share of our common stock, based upon 80,115,002 shares of our common stock outstanding as of that date. Net tangible book value per share is equal to our total tangible assets, less total liabilities, divided by the number of outstanding shares of our common stock as of June 30, 2026. Dilution in net tangible book value per share represents the difference between the amount per share paid by purchasers of shares of common stock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22,727,272 shares of our common stock pursuant to this prospectus in the aggregate amount of $200.0 million at an assumed offering price of $8.80 per share, the last reported sale price of our common stock on The Nasdaq Global Market on August 31, 2026, and after deducting commissions and estimated aggregate offering expenses payable by us, our net tangible book value as of June 30, 2026 would have been $516.6 million, or $5.02 per share of common stock. This represents an immediate increase in the net tangible book value of $0.99 per share to our existing stockholders and an immediate dilution in net tangible book value of $3.78 per share to new investors in this offering. The following table illustrates this per share 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678"/>
        <w:gridCol w:w="385"/>
        <w:gridCol w:w="144"/>
        <w:gridCol w:w="447"/>
        <w:gridCol w:w="60"/>
        <w:gridCol w:w="385"/>
        <w:gridCol w:w="144"/>
        <w:gridCol w:w="447"/>
        <w:gridCol w:w="65"/>
      </w:tblGrid>
      <w:tr>
        <w:trPr/>
        <w:tc>
          <w:tcPr>
            <w:tcW w:w="5678"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share</w:t>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8.80</w:t>
            </w:r>
          </w:p>
        </w:tc>
        <w:tc>
          <w:tcPr>
            <w:tcW w:w="65" w:type="dxa"/>
            <w:tcBorders/>
            <w:shd w:fill="CCEEFF" w:val="clear"/>
            <w:vAlign w:val="bottom"/>
          </w:tcPr>
          <w:p>
            <w:pPr>
              <w:pStyle w:val="TableContents"/>
              <w:bidi w:val="0"/>
              <w:spacing w:before="0" w:after="283"/>
              <w:jc w:val="left"/>
              <w:rPr/>
            </w:pPr>
            <w:r>
              <w:rPr/>
              <w:t> </w:t>
            </w:r>
          </w:p>
        </w:tc>
      </w:tr>
      <w:tr>
        <w:trPr/>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4.03</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in this offering</w:t>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0.99</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678"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678"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5.02</w:t>
            </w:r>
          </w:p>
        </w:tc>
        <w:tc>
          <w:tcPr>
            <w:tcW w:w="65" w:type="dxa"/>
            <w:tcBorders/>
            <w:vAlign w:val="bottom"/>
          </w:tcPr>
          <w:p>
            <w:pPr>
              <w:pStyle w:val="TableContents"/>
              <w:bidi w:val="0"/>
              <w:spacing w:before="0" w:after="283"/>
              <w:jc w:val="left"/>
              <w:rPr/>
            </w:pPr>
            <w:r>
              <w:rPr/>
              <w:t> </w:t>
            </w:r>
          </w:p>
        </w:tc>
      </w:tr>
      <w:tr>
        <w:trPr/>
        <w:tc>
          <w:tcPr>
            <w:tcW w:w="5678"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7" w:type="dxa"/>
            <w:tcBorders/>
            <w:shd w:fill="CCEEFF" w:val="clear"/>
            <w:vAlign w:val="bottom"/>
          </w:tcPr>
          <w:p>
            <w:pPr>
              <w:pStyle w:val="TableContents"/>
              <w:bidi w:val="0"/>
              <w:spacing w:before="0" w:after="283"/>
              <w:jc w:val="right"/>
              <w:rPr/>
            </w:pPr>
            <w:r>
              <w:rPr/>
              <w:t>3.78</w:t>
            </w:r>
          </w:p>
        </w:tc>
        <w:tc>
          <w:tcPr>
            <w:tcW w:w="65" w:type="dxa"/>
            <w:tcBorders/>
            <w:shd w:fill="CCEEFF" w:val="clear"/>
            <w:vAlign w:val="bottom"/>
          </w:tcPr>
          <w:p>
            <w:pPr>
              <w:pStyle w:val="TableContents"/>
              <w:bidi w:val="0"/>
              <w:spacing w:before="0" w:after="283"/>
              <w:jc w:val="left"/>
              <w:rPr/>
            </w:pPr>
            <w:r>
              <w:rPr/>
              <w:t> </w:t>
            </w:r>
          </w:p>
        </w:tc>
      </w:tr>
      <w:tr>
        <w:trPr/>
        <w:tc>
          <w:tcPr>
            <w:tcW w:w="5678"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22,727,272 shares of our common stock are sold pursuant to this prospectus at a price of $8.80 per share, the last reported sale price of our common stock on The Nasdaq Global Market on August 31, 2026, for aggregate gross proceeds of $200.0 million. The shares sold in this offering, if any, will be sold from time to time at various prices. An increase of $1.00 per share in the price at which the shares are sold from the assumed offering price to $9.80 per share, assuming all of our common stock in the aggregate amount of $200.0 million is sold at that price, would result in an adjusted net tangible book value per share after the offering of $5.14 per share and would increase the dilution in net tangible book value per share to new investors in this offering to $4.66 per share, after deducting commissions and estimated aggregate offering expenses payable by us. A decrease of $1.00 per share in the price at which the shares are sold from the assumed offering price to $7.80 per share, assuming all of our common stock in the aggregate amount of $200.0 million is sold at that price, would result in an adjusted net tangible book value per share after the offering of $4.89 per share and would decrease the dilution in net tangible book value per share to new investors in this offering to $2.91 per share, after deducting commissions and estimated aggregate offering expenses payable by us. This information is supplied for illustrative purposes only.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80,115,002 shares of our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12,600,655 shares of common stock issuable upon the exercise of stock options outstanding as of June 30, 2026, at a weighted average exercise price of $8.42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65,350 shares of common stock issuable upon the exercise of stock options granted subsequent to June 30, 2026, at a weighted average exercise price of $9.28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282,400 shares of common stock issuable upon the vesting and settlement of outstanding restricted stock unit awards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shares of common stock issuable upon the vesting and settlement of outstanding restricted stock unit awards granted subsequent to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748,841 shares of common stock available for future issuance under our 2025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1,808,313 shares of common stock available for future issuance under our ESPP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948,915 shares of common stock available for future issuance under our Inducement Plan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options and restricted stock unit awards outstanding as of June 30, 2026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supptx140634_8"/>
      <w:bookmarkEnd w:id="26"/>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supptx140634_9"/>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entered into the Sales Agreement with Leerink Partners and Cantor (the “Sales Agents”), under which we may offer and sell our shares of common stock from time to time through the Sales Agents. Pursuant to this prospectus, we may offer and sell shares of common stock having an aggregate offering price of up to $200.0 million. Sales of our common stock, if any, will be made at market prices by any method that is deemed to be an “at the market offering” as defined in Rule 415(a)(4) under the Securities Act, including sales made directly on the Nasdaq Global Market or any other trading market for our common stock. The description below of the material provisions of the Sales Agreement does not purport to be a complete statement of its terms and conditions. A copy of the Sales Agreement is filed as an exhibit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Sales Agents will offer our common stock subject to the terms and conditions of the Sales Agreement on a daily basis or as otherwise agreed upon by us and the Sales Agents. We will designate the maximum amount of common stock to be sold through a Sales Agent on a daily basis or otherwise determine such maximum amount together with such Sales Agent. Subject to the terms and conditions of the Sales Agreement, the Sales Agents will use their commercially reasonable efforts to sell on our behalf all of the shares of common stock requested to be sold by us. We may only instruct one Sales Agent to sell shares of common stock on any single given day. We may instruct the Sales Agents not to sell common stock if the sales cannot be effected at or above the price designated by us in any such instruction. The Sales Agents or we may suspend the offering of our common stock being made through the Sales Agents under the Sales Agreement upon proper notice to the other party or parties. We, and each of the Sales Agents solely with respect to itself,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a Sales Agent is up to 3.0% of the aggregate gross proceeds from the sale of the shares sold through such Sales Agent pursuant to the Sales Agreement. We have also agreed to reimburse the Sales Agents up to an aggregate of $90,000 of the Sales Agents’ actual outside legal expenses incurred by the Sales Agents in connection with this offering, and for certain ongoing expenses. In accordance with FINRA Rule 5110 these reimbursed fees and expenses are deemed to be sales compensation in connection with this offering. We estimate that the total expenses of the offering payable by us, excluding commissions payable to the Sales Agents under the Sales Agreement, will be approximately $475,000.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before="240" w:after="0"/>
        <w:jc w:val="left"/>
        <w:rPr>
          <w:rFonts w:ascii="Times New Roman" w:hAnsi="Times New Roman"/>
          <w:sz w:val="20"/>
        </w:rPr>
      </w:pPr>
      <w:r>
        <w:rPr>
          <w:rFonts w:ascii="Times New Roman" w:hAnsi="Times New Roman"/>
          <w:sz w:val="20"/>
        </w:rPr>
        <w:t xml:space="preserve">A Sales Agent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volume-weighted average price of the shares sold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shares of common stock sold through the Sales Agents under the Sales Agreement and the net proceeds to us in connection with the sales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common stock will occur, unless the parties agree otherwise, on the first trading day following the date on which any sales were made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our common stock on our behalf, the Sales Agents will each be deemed to be an “underwriter” within the meaning of the Securities Act and the compensation paid to the Sales Agents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deemed to be underwriting commissions or discounts. We have agreed in the Sales Agreement to provide indemnification and contribution to the Sales Agents against certain liabilities, including liabilities under the Securities Act. As Sales Agents, Leerink Partners and Cantor will not engage in any transactions that stabilize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Sales Agents and their respective affiliates have provided, and may in the future provide, various investment banking, commercial banking, financial advisory and other financial services for us and our affiliates, for which services they have received and may in the future receive customary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supptx140634_10"/>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securities offered by this prospectus will be passed upon by Goodwin Procter LLP, San Francisco, California. Covington  &amp; Burling LLP, New York, New York is acting as counsel for the Sales Agents in connection with this offering. </w:t>
      </w:r>
    </w:p>
    <w:p>
      <w:pPr>
        <w:pStyle w:val="TextBody"/>
        <w:bidi w:val="0"/>
        <w:spacing w:before="480" w:after="0"/>
        <w:jc w:val="center"/>
        <w:rPr>
          <w:rFonts w:ascii="Times New Roman" w:hAnsi="Times New Roman"/>
          <w:b/>
          <w:sz w:val="20"/>
        </w:rPr>
      </w:pPr>
      <w:bookmarkStart w:id="29" w:name="supptx140634_11"/>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BridgeBio Oncology Therapeutics,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480" w:after="0"/>
        <w:jc w:val="center"/>
        <w:rPr>
          <w:rFonts w:ascii="Times New Roman" w:hAnsi="Times New Roman"/>
          <w:b/>
          <w:sz w:val="20"/>
        </w:rPr>
      </w:pPr>
      <w:bookmarkStart w:id="30" w:name="supptx140634_12"/>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This prospectus is part of the registration statement on Form S-3 filed with the SEC under the Securities Act but does not contain all of the information included in the registration statement or the exhibits.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Our SEC filings are available to the public on the internet at a website maintained by the SEC located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website at http://www.bbotx.com.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amendments to those reports filed or furnished pursuant to Section 13(a) or 15(d) of the Exchange Act as soon as reasonably practicable after such material is electronically filed with, or furnished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supptx140634_13"/>
      <w:bookmarkEnd w:id="31"/>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We incorporate by reference the documents listed below which have been filed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2025 from our Definitive Proxy Statement on </w:t>
            </w:r>
            <w:hyperlink r:id="rId16">
              <w:r>
                <w:rPr>
                  <w:rStyle w:val="InternetLink"/>
                  <w:rFonts w:ascii="Times New Roman" w:hAnsi="Times New Roman"/>
                  <w:sz w:val="20"/>
                </w:rPr>
                <w:t>Schedule 14A</w:t>
              </w:r>
            </w:hyperlink>
            <w:r>
              <w:rPr>
                <w:rFonts w:ascii="Times New Roman" w:hAnsi="Times New Roman"/>
                <w:sz w:val="20"/>
              </w:rPr>
              <w:t xml:space="preserve">,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for the quarter ended March 31, 2026, filed with the SEC on </w:t>
            </w:r>
            <w:hyperlink r:id="rId17">
              <w:r>
                <w:rPr>
                  <w:rStyle w:val="InternetLink"/>
                  <w:rFonts w:ascii="Times New Roman" w:hAnsi="Times New Roman"/>
                  <w:sz w:val="20"/>
                </w:rPr>
                <w:t>May 12, 2026</w:t>
              </w:r>
            </w:hyperlink>
            <w:r>
              <w:rPr>
                <w:rFonts w:ascii="Times New Roman" w:hAnsi="Times New Roman"/>
                <w:sz w:val="20"/>
              </w:rPr>
              <w:t xml:space="preserve"> and for the quarter ended June  30, 2026, filed with the SEC on </w:t>
            </w:r>
            <w:hyperlink r:id="rId18">
              <w:r>
                <w:rPr>
                  <w:rStyle w:val="InternetLink"/>
                  <w:rFonts w:ascii="Times New Roman" w:hAnsi="Times New Roman"/>
                  <w:sz w:val="20"/>
                </w:rPr>
                <w:t>August 11,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19">
              <w:r>
                <w:rPr>
                  <w:rStyle w:val="InternetLink"/>
                  <w:rFonts w:ascii="Times New Roman" w:hAnsi="Times New Roman"/>
                  <w:sz w:val="20"/>
                </w:rPr>
                <w:t>January 7, 2026</w:t>
              </w:r>
            </w:hyperlink>
            <w:r>
              <w:rPr>
                <w:rFonts w:ascii="Times New Roman" w:hAnsi="Times New Roman"/>
                <w:sz w:val="20"/>
              </w:rPr>
              <w:t xml:space="preserve">, </w:t>
            </w:r>
            <w:hyperlink r:id="rId20">
              <w:r>
                <w:rPr>
                  <w:rStyle w:val="InternetLink"/>
                  <w:rFonts w:ascii="Times New Roman" w:hAnsi="Times New Roman"/>
                  <w:sz w:val="20"/>
                </w:rPr>
                <w:t>March  26, 2026</w:t>
              </w:r>
            </w:hyperlink>
            <w:r>
              <w:rPr>
                <w:rFonts w:ascii="Times New Roman" w:hAnsi="Times New Roman"/>
                <w:sz w:val="20"/>
              </w:rPr>
              <w:t xml:space="preserve">, </w:t>
            </w:r>
            <w:hyperlink r:id="rId21">
              <w:r>
                <w:rPr>
                  <w:rStyle w:val="InternetLink"/>
                  <w:rFonts w:ascii="Times New Roman" w:hAnsi="Times New Roman"/>
                  <w:sz w:val="20"/>
                </w:rPr>
                <w:t>April  23, 2026</w:t>
              </w:r>
            </w:hyperlink>
            <w:r>
              <w:rPr>
                <w:rFonts w:ascii="Times New Roman" w:hAnsi="Times New Roman"/>
                <w:sz w:val="20"/>
              </w:rPr>
              <w:t xml:space="preserve">, </w:t>
            </w:r>
            <w:hyperlink r:id="rId22">
              <w:r>
                <w:rPr>
                  <w:rStyle w:val="InternetLink"/>
                  <w:rFonts w:ascii="Times New Roman" w:hAnsi="Times New Roman"/>
                  <w:sz w:val="20"/>
                </w:rPr>
                <w:t>April  29, 2026</w:t>
              </w:r>
            </w:hyperlink>
            <w:r>
              <w:rPr>
                <w:rFonts w:ascii="Times New Roman" w:hAnsi="Times New Roman"/>
                <w:sz w:val="20"/>
              </w:rPr>
              <w:t xml:space="preserve">, and </w:t>
            </w:r>
            <w:hyperlink r:id="rId23">
              <w:r>
                <w:rPr>
                  <w:rStyle w:val="InternetLink"/>
                  <w:rFonts w:ascii="Times New Roman" w:hAnsi="Times New Roman"/>
                  <w:sz w:val="20"/>
                </w:rPr>
                <w:t>June 22,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contained in (i)  the Registration Statement on </w:t>
            </w:r>
            <w:hyperlink r:id="rId24">
              <w:r>
                <w:rPr>
                  <w:rStyle w:val="InternetLink"/>
                  <w:rFonts w:ascii="Times New Roman" w:hAnsi="Times New Roman"/>
                  <w:sz w:val="20"/>
                </w:rPr>
                <w:t>Form 8-A</w:t>
              </w:r>
            </w:hyperlink>
            <w:r>
              <w:rPr>
                <w:rFonts w:ascii="Times New Roman" w:hAnsi="Times New Roman"/>
                <w:sz w:val="20"/>
              </w:rPr>
              <w:t xml:space="preserve"> (File No. 001-41955), filed by the registrant with the SEC under Section 12(b) of the Exchange Act on February 8, 2024, including any amendments or reports filed for the purpose of updating such description and (ii) </w:t>
            </w:r>
            <w:hyperlink r:id="rId25">
              <w:r>
                <w:rPr>
                  <w:rStyle w:val="InternetLink"/>
                  <w:rFonts w:ascii="Times New Roman" w:hAnsi="Times New Roman"/>
                  <w:sz w:val="20"/>
                </w:rPr>
                <w:t>Exhibit 4.2</w:t>
              </w:r>
            </w:hyperlink>
            <w:r>
              <w:rPr>
                <w:rFonts w:ascii="Times New Roman" w:hAnsi="Times New Roman"/>
                <w:sz w:val="20"/>
              </w:rPr>
              <w:t xml:space="preserve">—Description of Securities to our Annual Report on Form 10-K, as filed with the SEC on March 5,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we file with the SEC pursuant to Sections 13(a), 13(c), 14 or 15(d) of the Exchange Act, except as to any portion of any report or documents that is not deemed filed under such provisions, (i) on or after the date of filing of the registration statement containing this prospectus and prior to the effectiveness of the registration statement and (ii) on or after the date of this prospectus until the earlier of the date on which all of the securities registered hereunder have been sold or the registration statement of which this prospectus is a part has been withdrawn, shall be deemed incorporated by reference in this prospectus and to be a part of this prospectus from the date of filing of those documents and will be automatically updated and, to the extent described above, supersede information contained or incorporated by reference in this prospectus and previously filed documents that are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prospectus shall be deemed to incorporate information furnished but not filed with the SEC pursuant to Item 2.02, 7.01 or 9.01 of Form 8-K. Upon written or oral request, we will provide without charge to each person, including any beneficial owner, to whom a copy of the prospectus is delivered a copy of any or all of the reports or documents incorporated by reference herein (other than exhibits to such documents, unless such exhibits are specifically incorporated by reference herein). You may request a copy of these filings, at no cost, by writing or telephoning us at the following address or phone number: </w:t>
      </w:r>
    </w:p>
    <w:p>
      <w:pPr>
        <w:pStyle w:val="TextBody"/>
        <w:bidi w:val="0"/>
        <w:spacing w:before="120" w:after="0"/>
        <w:jc w:val="center"/>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256 E. Grand Avenue, Suite 104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(650) 405-4770 </w:t>
      </w:r>
    </w:p>
    <w:p>
      <w:pPr>
        <w:pStyle w:val="TextBody"/>
        <w:bidi w:val="0"/>
        <w:spacing w:before="0" w:after="0"/>
        <w:jc w:val="center"/>
        <w:rPr>
          <w:rFonts w:ascii="Times New Roman" w:hAnsi="Times New Roman"/>
          <w:sz w:val="20"/>
        </w:rPr>
      </w:pPr>
      <w:r>
        <w:rPr>
          <w:rFonts w:ascii="Times New Roman" w:hAnsi="Times New Roman"/>
          <w:sz w:val="20"/>
        </w:rPr>
        <w:t xml:space="preserve">Email: Investors@BBOTx.com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48"/>
        </w:rPr>
      </w:pPr>
      <w:r>
        <w:rPr>
          <w:rFonts w:ascii="Times New Roman" w:hAnsi="Times New Roman"/>
          <w:b/>
          <w:sz w:val="48"/>
        </w:rPr>
        <w:t xml:space="preserve">BridgeBio Oncology Therapeutics, Inc. </w:t>
      </w:r>
    </w:p>
    <w:p>
      <w:pPr>
        <w:pStyle w:val="TextBody"/>
        <w:bidi w:val="0"/>
        <w:spacing w:before="960" w:after="0"/>
        <w:jc w:val="center"/>
        <w:rPr>
          <w:rFonts w:ascii="Times New Roman" w:hAnsi="Times New Roman"/>
          <w:b/>
          <w:sz w:val="28"/>
        </w:rPr>
      </w:pPr>
      <w:r>
        <w:rPr>
          <w:rFonts w:ascii="Times New Roman" w:hAnsi="Times New Roman"/>
          <w:b/>
          <w:sz w:val="28"/>
        </w:rPr>
        <w:t xml:space="preserve">$200,000,000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pPr>
      <w:r>
        <w:rPr/>
        <w:t>    </w:t>
      </w:r>
      <w:r>
        <w:rPr>
          <w:rFonts w:ascii="Times New Roman" w:hAnsi="Times New Roman"/>
          <w:b/>
          <w:sz w:val="20"/>
        </w:rPr>
        <w:t xml:space="preserve">,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b/>
              </w:rPr>
            </w:pPr>
            <w:r>
              <w:rPr>
                <w:b/>
              </w:rPr>
              <w:t>Leerink Partners</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Cantor</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an estimate (except in the case of the SEC registration fee) of the amount of fees and expenses to be incurred in connection with the issuance and distribution of the offered securities, other than underwriting discounts and commissions.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97"/>
        <w:gridCol w:w="443"/>
        <w:gridCol w:w="155"/>
        <w:gridCol w:w="1140"/>
        <w:gridCol w:w="204"/>
      </w:tblGrid>
      <w:tr>
        <w:trPr/>
        <w:tc>
          <w:tcPr>
            <w:tcW w:w="4997"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997"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204" w:type="dxa"/>
            <w:tcBorders/>
            <w:vAlign w:val="bottom"/>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1140" w:type="dxa"/>
            <w:tcBorders/>
            <w:shd w:fill="CCEEFF" w:val="clear"/>
            <w:vAlign w:val="bottom"/>
          </w:tcPr>
          <w:p>
            <w:pPr>
              <w:pStyle w:val="TableContents"/>
              <w:bidi w:val="0"/>
              <w:spacing w:before="0" w:after="283"/>
              <w:jc w:val="right"/>
              <w:rPr/>
            </w:pPr>
            <w:r>
              <w:rPr/>
              <w:t>69,050.00</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4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49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fees and expenses</w:t>
            </w:r>
          </w:p>
        </w:tc>
        <w:tc>
          <w:tcPr>
            <w:tcW w:w="443"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14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4997" w:type="dxa"/>
            <w:tcBorders/>
          </w:tcPr>
          <w:p>
            <w:pPr>
              <w:pStyle w:val="TableContents"/>
              <w:bidi w:val="0"/>
              <w:spacing w:before="0" w:after="0"/>
              <w:jc w:val="left"/>
              <w:rPr>
                <w:rFonts w:ascii="Times New Roman" w:hAnsi="Times New Roman"/>
                <w:sz w:val="20"/>
              </w:rPr>
            </w:pPr>
            <w:r>
              <w:rPr>
                <w:rFonts w:ascii="Times New Roman" w:hAnsi="Times New Roman"/>
                <w:sz w:val="20"/>
              </w:rPr>
              <w:t>Total expenses</w:t>
            </w:r>
          </w:p>
        </w:tc>
        <w:tc>
          <w:tcPr>
            <w:tcW w:w="443"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114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will be determined based on the securities offered and the number of issuances and accordingly cannot be defined at this time.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Charter, which became effective upon completion of the Business Combination, provides that no director or officer of ours shall be personally liable to us or our stockholders for monetary damages for any breach of fiduciary duty as a director or officer, subject to limited exceptions. In addition, our Charter provides that if the DGCL is amended to authorize the further elimination or limitation of the liability of directors or officers, then the liability of a director or officer of ours shall be eliminated or limited to the fullest extent permitted by the DGCL, as so amended. </w:t>
      </w:r>
    </w:p>
    <w:p>
      <w:pPr>
        <w:pStyle w:val="TextBody"/>
        <w:bidi w:val="0"/>
        <w:spacing w:before="240" w:after="0"/>
        <w:jc w:val="left"/>
        <w:rPr>
          <w:rFonts w:ascii="Times New Roman" w:hAnsi="Times New Roman"/>
          <w:sz w:val="20"/>
        </w:rPr>
      </w:pPr>
      <w:r>
        <w:rPr>
          <w:rFonts w:ascii="Times New Roman" w:hAnsi="Times New Roman"/>
          <w:sz w:val="20"/>
        </w:rPr>
        <w:t xml:space="preserve">Our Charter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or officer, as applicable, serving at the time of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 that we will advance expenses to such officer or director indemnified in connection with a legal proceeding, subject to limited exceptions.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These agreements provide that we will indemnify each of our directors and such officers to the fullest extent permitted by law and our Charter and our Bylaws.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 general liability insurance policy, which will cover certain liabilities of directors and officers of ours arising out of claims based on acts or omissions in their capacities as directors or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2"/>
        <w:gridCol w:w="602"/>
        <w:gridCol w:w="8981"/>
      </w:tblGrid>
      <w:tr>
        <w:trPr/>
        <w:tc>
          <w:tcPr>
            <w:tcW w:w="622" w:type="dxa"/>
            <w:tcBorders/>
            <w:vAlign w:val="center"/>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jc w:val="left"/>
              <w:rPr>
                <w:sz w:val="4"/>
                <w:szCs w:val="4"/>
              </w:rPr>
            </w:pPr>
            <w:r>
              <w:rPr>
                <w:sz w:val="4"/>
                <w:szCs w:val="4"/>
              </w:rPr>
            </w:r>
          </w:p>
        </w:tc>
      </w:tr>
      <w:tr>
        <w:trPr/>
        <w:tc>
          <w:tcPr>
            <w:tcW w:w="6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Number</w:t>
            </w:r>
          </w:p>
        </w:tc>
        <w:tc>
          <w:tcPr>
            <w:tcW w:w="602" w:type="dxa"/>
            <w:tcBorders/>
            <w:vAlign w:val="bottom"/>
          </w:tcPr>
          <w:p>
            <w:pPr>
              <w:pStyle w:val="TableContents"/>
              <w:bidi w:val="0"/>
              <w:spacing w:before="0" w:after="283"/>
              <w:jc w:val="left"/>
              <w:rPr/>
            </w:pPr>
            <w:r>
              <w:rPr/>
              <w:t>  </w:t>
            </w:r>
          </w:p>
        </w:tc>
        <w:tc>
          <w:tcPr>
            <w:tcW w:w="898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9583"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1.1*</w:t>
            </w:r>
          </w:p>
        </w:tc>
        <w:tc>
          <w:tcPr>
            <w:tcW w:w="602"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r>
              <w:rPr/>
              <w:t>Form(s) of underwriting agreement(s).</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9583"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1.2</w:t>
            </w:r>
          </w:p>
        </w:tc>
        <w:tc>
          <w:tcPr>
            <w:tcW w:w="602"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w:anchor="d140634dex12.htm">
              <w:r>
                <w:rPr>
                  <w:rStyle w:val="InternetLink"/>
                </w:rPr>
                <w:t>Sales Agreement by and among BridgeBio Oncology Therapeutics, Inc., Leerink Partners LLC and Cantor Fitzgerald &amp; Co., dated as of September 1, 2026</w:t>
              </w:r>
            </w:hyperlink>
            <w:r>
              <w:rPr/>
              <w:t>.</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9583"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2.1</w:t>
            </w:r>
          </w:p>
        </w:tc>
        <w:tc>
          <w:tcPr>
            <w:tcW w:w="602"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"http://www.sec.gov/Archives/edgar/data/../../../ix?doc=/Archives/edgar/data/1869105/000121390025062224/ea0237401-10.htm" \l "T701"</w:instrText>
            </w:r>
            <w:r>
              <w:rPr>
                <w:rStyle w:val="InternetLink"/>
              </w:rPr>
              <w:fldChar w:fldCharType="separate"/>
            </w:r>
            <w:r>
              <w:rPr>
                <w:rStyle w:val="InternetLink"/>
              </w:rPr>
              <w:t xml:space="preserve">Business Combination Agreement, by and among Helix Acquisition Corp. II, TheRas, Inc. and Helix II Merger Sub, Inc., dated as of February 28, 2025 (incorporated by reference to Annex A in the Registrant’s proxy statement/prospectus filed on July 9, 2025). </w:t>
            </w:r>
            <w:r>
              <w:rPr>
                <w:rStyle w:val="InternetLink"/>
              </w:rPr>
              <w:fldChar w:fldCharType="end"/>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9583"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2.2</w:t>
            </w:r>
          </w:p>
        </w:tc>
        <w:tc>
          <w:tcPr>
            <w:tcW w:w="602"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"http://www.sec.gov/Archives/edgar/data/../../../ix?doc=/Archives/edgar/data/1869105/000121390025062224/ea0237401-10.htm" \l "T701"</w:instrText>
            </w:r>
            <w:r>
              <w:rPr>
                <w:rStyle w:val="InternetLink"/>
              </w:rPr>
              <w:fldChar w:fldCharType="separate"/>
            </w:r>
            <w:r>
              <w:rPr>
                <w:rStyle w:val="InternetLink"/>
              </w:rPr>
              <w:t xml:space="preserve">Amendment No.  1 to Business Combination Agreement, by and among Helix Acquisition Corp. II, TheRas, Inc. and Helix Merger Sub, Inc., dated as of June  17, 2025 (incorporated by reference to Annex A in the Registrant’s proxy statement/prospectus filed on July 9, 2025). </w:t>
            </w:r>
            <w:r>
              <w:rPr>
                <w:rStyle w:val="InternetLink"/>
              </w:rPr>
              <w:fldChar w:fldCharType="end"/>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9583"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3.1</w:t>
            </w:r>
          </w:p>
        </w:tc>
        <w:tc>
          <w:tcPr>
            <w:tcW w:w="602" w:type="dxa"/>
            <w:tcBorders/>
            <w:vAlign w:val="bottom"/>
          </w:tcPr>
          <w:p>
            <w:pPr>
              <w:pStyle w:val="TableContents"/>
              <w:bidi w:val="0"/>
              <w:spacing w:before="0" w:after="283"/>
              <w:jc w:val="left"/>
              <w:rPr/>
            </w:pPr>
            <w:r>
              <w:rPr/>
              <w:t>  </w:t>
            </w:r>
          </w:p>
        </w:tc>
        <w:tc>
          <w:tcPr>
            <w:tcW w:w="8981" w:type="dxa"/>
            <w:tcBorders/>
          </w:tcPr>
          <w:p>
            <w:pPr>
              <w:pStyle w:val="TableContents"/>
              <w:bidi w:val="0"/>
              <w:spacing w:before="0" w:after="283"/>
              <w:jc w:val="left"/>
              <w:rPr/>
            </w:pPr>
            <w:hyperlink r:id="rId26">
              <w:r>
                <w:rPr>
                  <w:rStyle w:val="InternetLink"/>
                </w:rPr>
                <w:t xml:space="preserve">BridgeBio Oncology Therapeutics, Inc. Certificate of Incorporation (incorporated by reference to Exhibit 3.1 the Registrant’s Current Report on Form 8-K filed on August 13, 2025).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19"/>
        <w:gridCol w:w="678"/>
        <w:gridCol w:w="8908"/>
      </w:tblGrid>
      <w:tr>
        <w:trPr/>
        <w:tc>
          <w:tcPr>
            <w:tcW w:w="619" w:type="dxa"/>
            <w:tcBorders/>
            <w:vAlign w:val="center"/>
          </w:tcPr>
          <w:p>
            <w:pPr>
              <w:pStyle w:val="TableContents"/>
              <w:bidi w:val="0"/>
              <w:spacing w:before="0" w:after="283"/>
              <w:jc w:val="left"/>
              <w:rPr>
                <w:sz w:val="4"/>
                <w:szCs w:val="4"/>
              </w:rPr>
            </w:pPr>
            <w:r>
              <w:rPr>
                <w:sz w:val="4"/>
                <w:szCs w:val="4"/>
              </w:rPr>
            </w:r>
          </w:p>
        </w:tc>
        <w:tc>
          <w:tcPr>
            <w:tcW w:w="678" w:type="dxa"/>
            <w:tcBorders/>
            <w:vAlign w:val="bottom"/>
          </w:tcPr>
          <w:p>
            <w:pPr>
              <w:pStyle w:val="TableContents"/>
              <w:bidi w:val="0"/>
              <w:spacing w:before="0" w:after="283"/>
              <w:jc w:val="left"/>
              <w:rPr>
                <w:sz w:val="4"/>
                <w:szCs w:val="4"/>
              </w:rPr>
            </w:pPr>
            <w:r>
              <w:rPr>
                <w:sz w:val="4"/>
                <w:szCs w:val="4"/>
              </w:rPr>
            </w:r>
          </w:p>
        </w:tc>
        <w:tc>
          <w:tcPr>
            <w:tcW w:w="8908" w:type="dxa"/>
            <w:tcBorders/>
            <w:vAlign w:val="center"/>
          </w:tcPr>
          <w:p>
            <w:pPr>
              <w:pStyle w:val="TableContents"/>
              <w:bidi w:val="0"/>
              <w:spacing w:before="0" w:after="283"/>
              <w:jc w:val="left"/>
              <w:rPr>
                <w:sz w:val="4"/>
                <w:szCs w:val="4"/>
              </w:rPr>
            </w:pPr>
            <w:r>
              <w:rPr>
                <w:sz w:val="4"/>
                <w:szCs w:val="4"/>
              </w:rPr>
            </w:r>
          </w:p>
        </w:tc>
      </w:tr>
      <w:tr>
        <w:trPr/>
        <w:tc>
          <w:tcPr>
            <w:tcW w:w="6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Number</w:t>
            </w:r>
          </w:p>
        </w:tc>
        <w:tc>
          <w:tcPr>
            <w:tcW w:w="678" w:type="dxa"/>
            <w:tcBorders/>
            <w:vAlign w:val="bottom"/>
          </w:tcPr>
          <w:p>
            <w:pPr>
              <w:pStyle w:val="TableContents"/>
              <w:bidi w:val="0"/>
              <w:spacing w:before="0" w:after="283"/>
              <w:jc w:val="left"/>
              <w:rPr/>
            </w:pPr>
            <w:r>
              <w:rPr/>
              <w:t>  </w:t>
            </w:r>
          </w:p>
        </w:tc>
        <w:tc>
          <w:tcPr>
            <w:tcW w:w="890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619" w:type="dxa"/>
            <w:tcBorders/>
          </w:tcPr>
          <w:p>
            <w:pPr>
              <w:pStyle w:val="TableContents"/>
              <w:bidi w:val="0"/>
              <w:spacing w:before="0" w:after="283"/>
              <w:jc w:val="left"/>
              <w:rPr/>
            </w:pPr>
            <w:r>
              <w:rPr/>
              <w:t> </w:t>
            </w:r>
            <w:r>
              <w:rPr/>
              <w:t>3.2</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r:id="rId27">
              <w:r>
                <w:rPr>
                  <w:rStyle w:val="InternetLink"/>
                </w:rPr>
                <w:t xml:space="preserve">BridgeBio Oncology Therapeutics, Inc. Bylaws (incorporated by reference to Exhibit 3.2 in the Registrant’s Current Report on Form 8-K filed on August 13, 2025).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4.1</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r:id="rId28">
              <w:r>
                <w:rPr>
                  <w:rStyle w:val="InternetLink"/>
                </w:rPr>
                <w:t xml:space="preserve">Specimen Common Stock Certificate of BridgeBio Oncology Therapeutics, Inc. (incorporated by reference to Exhibit 4.1 in the Registrant’s proxy statement/prospectus filed on July 9, 2025).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4.2</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d140634dex42.htm">
              <w:r>
                <w:rPr>
                  <w:rStyle w:val="InternetLink"/>
                </w:rPr>
                <w:t xml:space="preserve">Form of indenture for senior debt securities and the related form of senior debt security.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4.3</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d140634dex43.htm">
              <w:r>
                <w:rPr>
                  <w:rStyle w:val="InternetLink"/>
                </w:rPr>
                <w:t>Form of indenture for subordinated debt securities and the related form of subordinated debt security.</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4.4*</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r>
              <w:rPr/>
              <w:t>Form of Certificate of Designations.</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4.5*</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r>
              <w:rPr/>
              <w:t>Form of Warrant Agreement.</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4.6*</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r>
              <w:rPr/>
              <w:t>Form of Unit Certificate.</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4.7*</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r>
              <w:rPr/>
              <w:t>Form of Preferred Stock Certificate.</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5.1</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d140634dex51.htm">
              <w:r>
                <w:rPr>
                  <w:rStyle w:val="InternetLink"/>
                </w:rPr>
                <w:t xml:space="preserve">Opinion of Goodwin Procter LLP (Base Prospectus)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 </w:t>
            </w:r>
            <w:r>
              <w:rPr/>
              <w:t>5.2</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d140634dex52.htm">
              <w:r>
                <w:rPr>
                  <w:rStyle w:val="InternetLink"/>
                </w:rPr>
                <w:t xml:space="preserve">Opinion of Goodwin Procter LLP (ATM Prospectus)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10.1</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r:id="rId29">
              <w:r>
                <w:rPr>
                  <w:rStyle w:val="InternetLink"/>
                </w:rPr>
                <w:t xml:space="preserve">Amended and Restated Registration Rights Agreement dated as of August  11, 2025 (incorporated by reference to Exhibit 10.1 in the Registrant’s Current Report on Form 8-K filed on August 13, 2025).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10.2</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r>
              <w:fldChar w:fldCharType="begin"/>
            </w:r>
            <w:r>
              <w:rPr>
                <w:rStyle w:val="InternetLink"/>
              </w:rPr>
              <w:instrText xml:space="preserve"> HYPERLINK "http://www.sec.gov/Archives/edgar/data/../../../ix?doc=/Archives/edgar/data/0001869105/000121390025062224/ea0237401-10.htm" \l "T705"</w:instrText>
            </w:r>
            <w:r>
              <w:rPr>
                <w:rStyle w:val="InternetLink"/>
              </w:rPr>
              <w:fldChar w:fldCharType="separate"/>
            </w:r>
            <w:r>
              <w:rPr>
                <w:rStyle w:val="InternetLink"/>
              </w:rPr>
              <w:t xml:space="preserve">Form of Subscription Agreement, dated February  28, 2025, by and between Helix Acquisition Corp. II and each PIPE Investor (incorporated by reference to Annex E in the Registrant’s proxy statement/prospectus filed on July 9, 2025). </w:t>
            </w:r>
            <w:r>
              <w:rPr>
                <w:rStyle w:val="InternetLink"/>
              </w:rPr>
              <w:fldChar w:fldCharType="end"/>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10.3</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r:id="rId30">
              <w:r>
                <w:rPr>
                  <w:rStyle w:val="InternetLink"/>
                </w:rPr>
                <w:t xml:space="preserve">Lock-Up Agreement, dated as of August  11, 2025, by and between Helix Acquisition Corp. II, Helix Holdings II, LLC, certain investment vehicles of Cormorant Asset Management, LP, certain existing shareholders of the Company, and other persons and entities (incorporated by reference to Exhibit 10.3 in the Registrant’s Current Report on Form 8-K filed on August 13, 2025).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23.1</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d140634dex231.htm">
              <w:r>
                <w:rPr>
                  <w:rStyle w:val="InternetLink"/>
                </w:rPr>
                <w:t xml:space="preserve">Consent of Deloitte &amp; Touche, LLP as an independent registered public accounting firm.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23.2</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d140634dex51.htm">
              <w:r>
                <w:rPr>
                  <w:rStyle w:val="InternetLink"/>
                </w:rPr>
                <w:t xml:space="preserve">Consent of Goodwin Procter LLP (included in Exhibit 5.1 hereto).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23.3</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d140634dex52.htm">
              <w:r>
                <w:rPr>
                  <w:rStyle w:val="InternetLink"/>
                </w:rPr>
                <w:t xml:space="preserve">Consent of Goodwin Procter LLP (included in Exhibit 5.2 hereto).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24.1</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sig">
              <w:r>
                <w:rPr>
                  <w:rStyle w:val="InternetLink"/>
                </w:rPr>
                <w:t xml:space="preserve">Power of Attorney (included on the signature page to the registration statement). </w:t>
              </w:r>
            </w:hyperlink>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25.1*</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r>
              <w:rPr/>
              <w:t>Form T-1 Statement of Eligibility of Trustee for Senior Indenture under the Trust Indenture Act of 1939.</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25.2*</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r>
              <w:rPr/>
              <w:t>Form T-1 Statement of Eligibility of Trustee for Subordinated Indenture under the Trust Indenture Act of 1939.</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104</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r>
              <w:rPr/>
              <w:t>Cover Page Interactive Data File (embedded within the Inline XBRL document).</w:t>
            </w:r>
          </w:p>
        </w:tc>
      </w:tr>
      <w:tr>
        <w:trPr>
          <w:trHeight w:val="120" w:hRule="atLeast"/>
        </w:trPr>
        <w:tc>
          <w:tcPr>
            <w:tcW w:w="619" w:type="dxa"/>
            <w:tcBorders/>
            <w:vAlign w:val="center"/>
          </w:tcPr>
          <w:p>
            <w:pPr>
              <w:pStyle w:val="TableContents"/>
              <w:bidi w:val="0"/>
              <w:spacing w:before="0" w:after="283"/>
              <w:jc w:val="left"/>
              <w:rPr>
                <w:sz w:val="4"/>
                <w:szCs w:val="4"/>
              </w:rPr>
            </w:pPr>
            <w:r>
              <w:rPr>
                <w:sz w:val="4"/>
                <w:szCs w:val="4"/>
              </w:rPr>
            </w:r>
          </w:p>
        </w:tc>
        <w:tc>
          <w:tcPr>
            <w:tcW w:w="9586"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107</w:t>
            </w:r>
          </w:p>
        </w:tc>
        <w:tc>
          <w:tcPr>
            <w:tcW w:w="678" w:type="dxa"/>
            <w:tcBorders/>
            <w:vAlign w:val="bottom"/>
          </w:tcPr>
          <w:p>
            <w:pPr>
              <w:pStyle w:val="TableContents"/>
              <w:bidi w:val="0"/>
              <w:spacing w:before="0" w:after="283"/>
              <w:jc w:val="left"/>
              <w:rPr/>
            </w:pPr>
            <w:r>
              <w:rPr/>
              <w:t>  </w:t>
            </w:r>
          </w:p>
        </w:tc>
        <w:tc>
          <w:tcPr>
            <w:tcW w:w="8908" w:type="dxa"/>
            <w:tcBorders/>
          </w:tcPr>
          <w:p>
            <w:pPr>
              <w:pStyle w:val="TableContents"/>
              <w:bidi w:val="0"/>
              <w:spacing w:before="0" w:after="283"/>
              <w:jc w:val="left"/>
              <w:rPr/>
            </w:pPr>
            <w:hyperlink w:anchor="d140634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as exhibit(s) to a Current Report of the Registrant on Form 8-K and incorporated herein by reference, as applicable. </w:t>
            </w:r>
          </w:p>
        </w:tc>
      </w:tr>
    </w:tbl>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pursuant to Section 305(b)(2) of the U.S. Trust Indenture Act of 1939, as applicable.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I. 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II.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III.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IV. The undersigned registrant hereby undertakes to file an application for the purpose of determining the eligibility of the trustee to act under sub section (a) of section 310 of the Trust Indenture Act, or the Act, in accordance with the rules and regulations prescribed by the Commission under section 305(b)(2)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South San Francisco, California, on September 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38"/>
        <w:gridCol w:w="60"/>
        <w:gridCol w:w="3384"/>
      </w:tblGrid>
      <w:tr>
        <w:trPr/>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BRIDGEBIO ONCOLOGY THERAPEUTICS, INC.</w:t>
            </w:r>
          </w:p>
        </w:tc>
      </w:tr>
      <w:tr>
        <w:trPr>
          <w:trHeight w:val="240" w:hRule="atLeast"/>
        </w:trPr>
        <w:tc>
          <w:tcPr>
            <w:tcW w:w="638" w:type="dxa"/>
            <w:tcBorders/>
            <w:vAlign w:val="center"/>
          </w:tcPr>
          <w:p>
            <w:pPr>
              <w:pStyle w:val="TableContents"/>
              <w:bidi w:val="0"/>
              <w:spacing w:before="0" w:after="283"/>
              <w:jc w:val="left"/>
              <w:rPr>
                <w:sz w:val="4"/>
                <w:szCs w:val="4"/>
              </w:rPr>
            </w:pPr>
            <w:r>
              <w:rPr>
                <w:sz w:val="4"/>
                <w:szCs w:val="4"/>
              </w:rPr>
            </w:r>
          </w:p>
        </w:tc>
        <w:tc>
          <w:tcPr>
            <w:tcW w:w="3444" w:type="dxa"/>
            <w:gridSpan w:val="2"/>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84" w:type="dxa"/>
            <w:tcBorders>
              <w:bottom w:val="single" w:sz="2" w:space="0" w:color="000000"/>
            </w:tcBorders>
            <w:tcMar>
              <w:bottom w:w="28" w:type="dxa"/>
            </w:tcMar>
          </w:tcPr>
          <w:p>
            <w:pPr>
              <w:pStyle w:val="TableContents"/>
              <w:bidi w:val="0"/>
              <w:spacing w:before="0" w:after="283"/>
              <w:jc w:val="left"/>
              <w:rPr/>
            </w:pPr>
            <w:r>
              <w:rPr/>
              <w:t>/s/ Pedro J. Beltran</w:t>
            </w:r>
          </w:p>
        </w:tc>
      </w:tr>
      <w:tr>
        <w:trPr/>
        <w:tc>
          <w:tcPr>
            <w:tcW w:w="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Pedro J. Beltran</w:t>
            </w:r>
          </w:p>
        </w:tc>
      </w:tr>
      <w:tr>
        <w:trPr/>
        <w:tc>
          <w:tcPr>
            <w:tcW w:w="6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8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sig"/>
      <w:bookmarkEnd w:id="32"/>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each of Pedro J. Beltran and Idan Elmelech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99"/>
        <w:gridCol w:w="120"/>
        <w:gridCol w:w="3897"/>
        <w:gridCol w:w="201"/>
        <w:gridCol w:w="2088"/>
      </w:tblGrid>
      <w:tr>
        <w:trPr/>
        <w:tc>
          <w:tcPr>
            <w:tcW w:w="389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3899"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89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208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Pedro J. Beltran</w:t>
            </w:r>
          </w:p>
          <w:p>
            <w:pPr>
              <w:pStyle w:val="TableContents"/>
              <w:bidi w:val="0"/>
              <w:spacing w:before="0" w:after="20"/>
              <w:jc w:val="left"/>
              <w:rPr>
                <w:rFonts w:ascii="Times New Roman" w:hAnsi="Times New Roman"/>
                <w:sz w:val="20"/>
              </w:rPr>
            </w:pPr>
            <w:r>
              <w:rPr>
                <w:rFonts w:ascii="Times New Roman" w:hAnsi="Times New Roman"/>
                <w:sz w:val="20"/>
              </w:rPr>
              <w:t>Pedro J. Beltran</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83"/>
              <w:jc w:val="left"/>
              <w:rPr/>
            </w:pPr>
            <w:r>
              <w:rPr/>
              <w:t>Chief Executive Officer and Director (Principal Executive Officer)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Idan Elmelech</w:t>
            </w:r>
          </w:p>
          <w:p>
            <w:pPr>
              <w:pStyle w:val="TableContents"/>
              <w:bidi w:val="0"/>
              <w:spacing w:before="0" w:after="20"/>
              <w:jc w:val="left"/>
              <w:rPr>
                <w:rFonts w:ascii="Times New Roman" w:hAnsi="Times New Roman"/>
                <w:sz w:val="20"/>
              </w:rPr>
            </w:pPr>
            <w:r>
              <w:rPr>
                <w:rFonts w:ascii="Times New Roman" w:hAnsi="Times New Roman"/>
                <w:sz w:val="20"/>
              </w:rPr>
              <w:t>Idan Elmelech</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0"/>
              <w:jc w:val="left"/>
              <w:rPr>
                <w:rFonts w:ascii="Times New Roman" w:hAnsi="Times New Roman"/>
                <w:sz w:val="20"/>
              </w:rPr>
            </w:pPr>
            <w:r>
              <w:rPr>
                <w:rFonts w:ascii="Times New Roman" w:hAnsi="Times New Roman"/>
                <w:sz w:val="20"/>
              </w:rPr>
              <w:t>Chief Operating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Marc Cobo</w:t>
            </w:r>
          </w:p>
          <w:p>
            <w:pPr>
              <w:pStyle w:val="TableContents"/>
              <w:bidi w:val="0"/>
              <w:spacing w:before="0" w:after="20"/>
              <w:jc w:val="left"/>
              <w:rPr>
                <w:rFonts w:ascii="Times New Roman" w:hAnsi="Times New Roman"/>
                <w:sz w:val="20"/>
              </w:rPr>
            </w:pPr>
            <w:r>
              <w:rPr>
                <w:rFonts w:ascii="Times New Roman" w:hAnsi="Times New Roman"/>
                <w:sz w:val="20"/>
              </w:rPr>
              <w:t>Marc Cobo</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Jake Bauer</w:t>
            </w:r>
          </w:p>
          <w:p>
            <w:pPr>
              <w:pStyle w:val="TableContents"/>
              <w:bidi w:val="0"/>
              <w:spacing w:before="0" w:after="20"/>
              <w:jc w:val="left"/>
              <w:rPr>
                <w:rFonts w:ascii="Times New Roman" w:hAnsi="Times New Roman"/>
                <w:sz w:val="20"/>
              </w:rPr>
            </w:pPr>
            <w:r>
              <w:rPr>
                <w:rFonts w:ascii="Times New Roman" w:hAnsi="Times New Roman"/>
                <w:sz w:val="20"/>
              </w:rPr>
              <w:t>Jake Bauer</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Bihua Chen</w:t>
            </w:r>
          </w:p>
          <w:p>
            <w:pPr>
              <w:pStyle w:val="TableContents"/>
              <w:bidi w:val="0"/>
              <w:spacing w:before="0" w:after="20"/>
              <w:jc w:val="left"/>
              <w:rPr>
                <w:rFonts w:ascii="Times New Roman" w:hAnsi="Times New Roman"/>
                <w:sz w:val="20"/>
              </w:rPr>
            </w:pPr>
            <w:r>
              <w:rPr>
                <w:rFonts w:ascii="Times New Roman" w:hAnsi="Times New Roman"/>
                <w:sz w:val="20"/>
              </w:rPr>
              <w:t>Bihua Chen</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Raymond Kelleher</w:t>
            </w:r>
          </w:p>
          <w:p>
            <w:pPr>
              <w:pStyle w:val="TableContents"/>
              <w:bidi w:val="0"/>
              <w:spacing w:before="0" w:after="20"/>
              <w:jc w:val="left"/>
              <w:rPr>
                <w:rFonts w:ascii="Times New Roman" w:hAnsi="Times New Roman"/>
                <w:sz w:val="20"/>
              </w:rPr>
            </w:pPr>
            <w:r>
              <w:rPr>
                <w:rFonts w:ascii="Times New Roman" w:hAnsi="Times New Roman"/>
                <w:sz w:val="20"/>
              </w:rPr>
              <w:t>Raymond Kelleher</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Neil Kumar</w:t>
            </w:r>
          </w:p>
          <w:p>
            <w:pPr>
              <w:pStyle w:val="TableContents"/>
              <w:bidi w:val="0"/>
              <w:spacing w:before="0" w:after="20"/>
              <w:jc w:val="left"/>
              <w:rPr>
                <w:rFonts w:ascii="Times New Roman" w:hAnsi="Times New Roman"/>
                <w:sz w:val="20"/>
              </w:rPr>
            </w:pPr>
            <w:r>
              <w:rPr>
                <w:rFonts w:ascii="Times New Roman" w:hAnsi="Times New Roman"/>
                <w:sz w:val="20"/>
              </w:rPr>
              <w:t>Neil Kumar</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Peter Lebowitz</w:t>
            </w:r>
          </w:p>
          <w:p>
            <w:pPr>
              <w:pStyle w:val="TableContents"/>
              <w:bidi w:val="0"/>
              <w:spacing w:before="0" w:after="20"/>
              <w:jc w:val="left"/>
              <w:rPr>
                <w:rFonts w:ascii="Times New Roman" w:hAnsi="Times New Roman"/>
                <w:sz w:val="20"/>
              </w:rPr>
            </w:pPr>
            <w:r>
              <w:rPr>
                <w:rFonts w:ascii="Times New Roman" w:hAnsi="Times New Roman"/>
                <w:sz w:val="20"/>
              </w:rPr>
              <w:t>Peter Lebowitz</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Frank P. McCormick</w:t>
            </w:r>
          </w:p>
          <w:p>
            <w:pPr>
              <w:pStyle w:val="TableContents"/>
              <w:bidi w:val="0"/>
              <w:spacing w:before="0" w:after="20"/>
              <w:jc w:val="left"/>
              <w:rPr>
                <w:rFonts w:ascii="Times New Roman" w:hAnsi="Times New Roman"/>
                <w:sz w:val="20"/>
              </w:rPr>
            </w:pPr>
            <w:r>
              <w:rPr>
                <w:rFonts w:ascii="Times New Roman" w:hAnsi="Times New Roman"/>
                <w:sz w:val="20"/>
              </w:rPr>
              <w:t>Frank P. McCormick</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r>
        <w:trPr>
          <w:trHeight w:val="240" w:hRule="atLeast"/>
        </w:trPr>
        <w:tc>
          <w:tcPr>
            <w:tcW w:w="3899" w:type="dxa"/>
            <w:tcBorders/>
            <w:vAlign w:val="center"/>
          </w:tcPr>
          <w:p>
            <w:pPr>
              <w:pStyle w:val="TableContents"/>
              <w:bidi w:val="0"/>
              <w:spacing w:before="0" w:after="283"/>
              <w:jc w:val="left"/>
              <w:rPr>
                <w:sz w:val="4"/>
                <w:szCs w:val="4"/>
              </w:rPr>
            </w:pPr>
            <w:r>
              <w:rPr>
                <w:sz w:val="4"/>
                <w:szCs w:val="4"/>
              </w:rPr>
            </w:r>
          </w:p>
        </w:tc>
        <w:tc>
          <w:tcPr>
            <w:tcW w:w="4017" w:type="dxa"/>
            <w:gridSpan w:val="2"/>
            <w:tcBorders/>
            <w:vAlign w:val="center"/>
          </w:tcPr>
          <w:p>
            <w:pPr>
              <w:pStyle w:val="TableContents"/>
              <w:bidi w:val="0"/>
              <w:spacing w:before="0" w:after="283"/>
              <w:jc w:val="left"/>
              <w:rPr>
                <w:sz w:val="4"/>
                <w:szCs w:val="4"/>
              </w:rPr>
            </w:pPr>
            <w:r>
              <w:rPr>
                <w:sz w:val="4"/>
                <w:szCs w:val="4"/>
              </w:rPr>
            </w:r>
          </w:p>
        </w:tc>
        <w:tc>
          <w:tcPr>
            <w:tcW w:w="2289" w:type="dxa"/>
            <w:gridSpan w:val="2"/>
            <w:tcBorders/>
            <w:vAlign w:val="center"/>
          </w:tcPr>
          <w:p>
            <w:pPr>
              <w:pStyle w:val="TableContents"/>
              <w:bidi w:val="0"/>
              <w:spacing w:before="0" w:after="283"/>
              <w:jc w:val="left"/>
              <w:rPr>
                <w:sz w:val="4"/>
                <w:szCs w:val="4"/>
              </w:rPr>
            </w:pPr>
            <w:r>
              <w:rPr>
                <w:sz w:val="4"/>
                <w:szCs w:val="4"/>
              </w:rPr>
            </w:r>
          </w:p>
        </w:tc>
      </w:tr>
      <w:tr>
        <w:trPr/>
        <w:tc>
          <w:tcPr>
            <w:tcW w:w="3899"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Praveen Tipirneni</w:t>
            </w:r>
          </w:p>
          <w:p>
            <w:pPr>
              <w:pStyle w:val="TableContents"/>
              <w:bidi w:val="0"/>
              <w:spacing w:before="0" w:after="20"/>
              <w:jc w:val="left"/>
              <w:rPr>
                <w:rFonts w:ascii="Times New Roman" w:hAnsi="Times New Roman"/>
                <w:sz w:val="20"/>
              </w:rPr>
            </w:pPr>
            <w:r>
              <w:rPr>
                <w:rFonts w:ascii="Times New Roman" w:hAnsi="Times New Roman"/>
                <w:sz w:val="20"/>
              </w:rPr>
              <w:t>Praveen Tipirneni</w:t>
            </w:r>
          </w:p>
        </w:tc>
        <w:tc>
          <w:tcPr>
            <w:tcW w:w="120" w:type="dxa"/>
            <w:tcBorders/>
            <w:vAlign w:val="bottom"/>
          </w:tcPr>
          <w:p>
            <w:pPr>
              <w:pStyle w:val="TableContents"/>
              <w:bidi w:val="0"/>
              <w:spacing w:before="0" w:after="283"/>
              <w:jc w:val="left"/>
              <w:rPr/>
            </w:pPr>
            <w:r>
              <w:rPr/>
              <w:t>  </w:t>
            </w:r>
          </w:p>
        </w:tc>
        <w:tc>
          <w:tcPr>
            <w:tcW w:w="3897" w:type="dxa"/>
            <w:tcBorders/>
          </w:tcPr>
          <w:p>
            <w:pPr>
              <w:pStyle w:val="TableContents"/>
              <w:bidi w:val="0"/>
              <w:spacing w:before="0" w:after="283"/>
              <w:jc w:val="left"/>
              <w:rPr/>
            </w:pPr>
            <w:r>
              <w:rPr/>
              <w:t>Director</w:t>
            </w:r>
          </w:p>
        </w:tc>
        <w:tc>
          <w:tcPr>
            <w:tcW w:w="201" w:type="dxa"/>
            <w:tcBorders/>
            <w:vAlign w:val="bottom"/>
          </w:tcPr>
          <w:p>
            <w:pPr>
              <w:pStyle w:val="TableContents"/>
              <w:bidi w:val="0"/>
              <w:spacing w:before="0" w:after="283"/>
              <w:jc w:val="left"/>
              <w:rPr/>
            </w:pPr>
            <w:r>
              <w:rPr/>
              <w:t> </w:t>
            </w:r>
          </w:p>
        </w:tc>
        <w:tc>
          <w:tcPr>
            <w:tcW w:w="2088" w:type="dxa"/>
            <w:tcBorders/>
          </w:tcPr>
          <w:p>
            <w:pPr>
              <w:pStyle w:val="TableContents"/>
              <w:bidi w:val="0"/>
              <w:spacing w:before="0" w:after="283"/>
              <w:jc w:val="left"/>
              <w:rPr/>
            </w:pPr>
            <w:r>
              <w:rPr/>
              <w:t>September 1,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33" w:name="d140634dex12.htm"/>
      <w:bookmarkStart w:id="34" w:name="ksd140634dex12"/>
      <w:bookmarkEnd w:id="33"/>
      <w:bookmarkEnd w:id="34"/>
      <w:r>
        <w:rPr>
          <w:rFonts w:ascii="Times New Roman" w:hAnsi="Times New Roman"/>
          <w:b/>
          <w:sz w:val="20"/>
        </w:rPr>
        <w:t xml:space="preserve">Exhibit 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BRIDGEBIO ONCOLOGY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Shares of Common Stock </w:t>
      </w:r>
    </w:p>
    <w:p>
      <w:pPr>
        <w:pStyle w:val="TextBody"/>
        <w:bidi w:val="0"/>
        <w:spacing w:before="0" w:after="0"/>
        <w:jc w:val="center"/>
        <w:rPr>
          <w:rFonts w:ascii="Times New Roman" w:hAnsi="Times New Roman"/>
          <w:sz w:val="20"/>
        </w:rPr>
      </w:pPr>
      <w:r>
        <w:rPr>
          <w:rFonts w:ascii="Times New Roman" w:hAnsi="Times New Roman"/>
          <w:sz w:val="20"/>
        </w:rPr>
        <w:t xml:space="preserve">($0.0001 par value per share)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BridgeBio Oncology Therapeutics, Inc., a Delaware corporation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Leerink Partners LLC and Cantor Fitzgerald &amp; Co. (each an “</w:t>
      </w:r>
      <w:r>
        <w:rPr>
          <w:rFonts w:ascii="Times New Roman" w:hAnsi="Times New Roman"/>
          <w:b/>
          <w:sz w:val="20"/>
          <w:u w:val="single"/>
        </w:rPr>
        <w:t>Agent</w:t>
      </w:r>
      <w:r>
        <w:rPr>
          <w:rFonts w:ascii="Times New Roman" w:hAnsi="Times New Roman"/>
          <w:sz w:val="20"/>
        </w:rPr>
        <w:t>” and together, the “</w:t>
      </w:r>
      <w:r>
        <w:rPr>
          <w:rFonts w:ascii="Times New Roman" w:hAnsi="Times New Roman"/>
          <w:b/>
          <w:sz w:val="20"/>
          <w:u w:val="single"/>
        </w:rPr>
        <w:t>Agents</w:t>
      </w:r>
      <w:r>
        <w:rPr>
          <w:rFonts w:ascii="Times New Roman" w:hAnsi="Times New Roman"/>
          <w:sz w:val="20"/>
        </w:rPr>
        <w:t xml:space="preserv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through the Agents shares of common stock, $0.0001 par value per share, of the Company (the “</w:t>
      </w:r>
      <w:r>
        <w:rPr>
          <w:rFonts w:ascii="Times New Roman" w:hAnsi="Times New Roman"/>
          <w:b/>
          <w:sz w:val="20"/>
          <w:u w:val="single"/>
        </w:rPr>
        <w:t>Common Stock</w:t>
      </w:r>
      <w:r>
        <w:rPr>
          <w:rFonts w:ascii="Times New Roman" w:hAnsi="Times New Roman"/>
          <w:sz w:val="20"/>
        </w:rPr>
        <w:t>”), subject to the limitations set forth in Section 5(c) (the “</w:t>
      </w:r>
      <w:r>
        <w:rPr>
          <w:rFonts w:ascii="Times New Roman" w:hAnsi="Times New Roman"/>
          <w:b/>
          <w:sz w:val="20"/>
          <w:u w:val="single"/>
        </w:rPr>
        <w:t>Placement Shares</w:t>
      </w:r>
      <w:r>
        <w:rPr>
          <w:rFonts w:ascii="Times New Roman" w:hAnsi="Times New Roman"/>
          <w:sz w:val="20"/>
        </w:rPr>
        <w:t>”). Notwithstanding anything to the contrary contained herein, the parties hereto agree that compliance with the limitations set forth in Section 1 on the aggregate gross sales price of Placement Shares that may be issued and sold under this Agreement from time to time shall be the sole responsibility of the Company, and that the Agents shall have no obligation in connection with such compliance. The issuance and sale of Placement Shares through the Agents will be effected pursuant to the Registration Statement (as defined below) to be filed by the Company with the Securities and Exchange Commission (the “</w:t>
      </w:r>
      <w:r>
        <w:rPr>
          <w:rFonts w:ascii="Times New Roman" w:hAnsi="Times New Roman"/>
          <w:b/>
          <w:sz w:val="20"/>
          <w:u w:val="single"/>
        </w:rPr>
        <w:t>Commission</w:t>
      </w:r>
      <w:r>
        <w:rPr>
          <w:rFonts w:ascii="Times New Roman" w:hAnsi="Times New Roman"/>
          <w:sz w:val="20"/>
        </w:rPr>
        <w:t xml:space="preserve">”) on or about the date hereof and to be declared effective by the Commission, although nothing in this Agreement shall be construed as requiring the Company to issue any Placement Shares. </w:t>
      </w:r>
    </w:p>
    <w:p>
      <w:pPr>
        <w:pStyle w:val="TextBody"/>
        <w:bidi w:val="0"/>
        <w:spacing w:before="240" w:after="0"/>
        <w:jc w:val="left"/>
        <w:rPr>
          <w:rFonts w:ascii="Times New Roman" w:hAnsi="Times New Roman"/>
          <w:sz w:val="20"/>
        </w:rPr>
      </w:pPr>
      <w:r>
        <w:rPr>
          <w:rFonts w:ascii="Times New Roman" w:hAnsi="Times New Roman"/>
          <w:sz w:val="20"/>
        </w:rPr>
        <w:t>The Company has prepared and will file, in accordance with the provisions of the Securities Act of 1933, as amended, and the rules and regulations thereunder (collectively, the “</w:t>
      </w:r>
      <w:r>
        <w:rPr>
          <w:rFonts w:ascii="Times New Roman" w:hAnsi="Times New Roman"/>
          <w:b/>
          <w:sz w:val="20"/>
          <w:u w:val="single"/>
        </w:rPr>
        <w:t>Securities Act</w:t>
      </w:r>
      <w:r>
        <w:rPr>
          <w:rFonts w:ascii="Times New Roman" w:hAnsi="Times New Roman"/>
          <w:sz w:val="20"/>
        </w:rPr>
        <w:t>”), with the Commission a registration statement on Form S-3, including a base prospectus (the “</w:t>
      </w:r>
      <w:r>
        <w:rPr>
          <w:rFonts w:ascii="Times New Roman" w:hAnsi="Times New Roman"/>
          <w:b/>
          <w:sz w:val="20"/>
          <w:u w:val="single"/>
        </w:rPr>
        <w:t>Base Prospectus</w:t>
      </w:r>
      <w:r>
        <w:rPr>
          <w:rFonts w:ascii="Times New Roman" w:hAnsi="Times New Roman"/>
          <w:sz w:val="20"/>
        </w:rPr>
        <w:t>”),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sz w:val="20"/>
          <w:u w:val="single"/>
        </w:rPr>
        <w:t>Exchange Act</w:t>
      </w:r>
      <w:r>
        <w:rPr>
          <w:rFonts w:ascii="Times New Roman" w:hAnsi="Times New Roman"/>
          <w:sz w:val="20"/>
        </w:rPr>
        <w:t>”). The Company has prepared a prospectus included as part of the Registration Statement specifically relating to the Placement Shares (the “</w:t>
      </w:r>
      <w:r>
        <w:rPr>
          <w:rFonts w:ascii="Times New Roman" w:hAnsi="Times New Roman"/>
          <w:b/>
          <w:sz w:val="20"/>
          <w:u w:val="single"/>
        </w:rPr>
        <w:t>ATM Prospectus</w:t>
      </w:r>
      <w:r>
        <w:rPr>
          <w:rFonts w:ascii="Times New Roman" w:hAnsi="Times New Roman"/>
          <w:sz w:val="20"/>
        </w:rPr>
        <w:t>”), and shall, if necessary, prepare a prospectus supplement specifically relating to the Placement Shares (the “</w:t>
      </w:r>
      <w:r>
        <w:rPr>
          <w:rFonts w:ascii="Times New Roman" w:hAnsi="Times New Roman"/>
          <w:b/>
          <w:sz w:val="20"/>
          <w:u w:val="single"/>
        </w:rPr>
        <w:t>Prospectus Supplement</w:t>
      </w:r>
      <w:r>
        <w:rPr>
          <w:rFonts w:ascii="Times New Roman" w:hAnsi="Times New Roman"/>
          <w:sz w:val="20"/>
        </w:rPr>
        <w:t xml:space="preserve">”). The Company will furnish to the Agents, for use by the Agents, copies of the Base Prospectus and the ATM Prospectus included as part of such registration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statement at the time it becomes effective, as may be supplemented by any Prospectus Supplement. Except where the context otherwise requires, such registration statement, including all amendments thereto and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hAnsi="Times New Roman"/>
          <w:b/>
          <w:sz w:val="20"/>
          <w:u w:val="single"/>
        </w:rPr>
        <w:t>Registration Statement</w:t>
      </w:r>
      <w:r>
        <w:rPr>
          <w:rFonts w:ascii="Times New Roman" w:hAnsi="Times New Roman"/>
          <w:sz w:val="20"/>
        </w:rPr>
        <w:t>.” The Base Prospectus and the ATM Prospectus, including all documents incorporated therein by reference, included in the Registration Statement, as may be supplemented by any Prospectus Supplement, in the form in which such prospectus, ATM Prospectus and/or Prospectus Supplement have most recently been filed by the Company with the Commission pursuant to Rule 424(b) under the Securities Act, together with any “issuer free writing prospectus” (as used herein, as defined in Rule 433 under the Securities Act (“</w:t>
      </w:r>
      <w:r>
        <w:rPr>
          <w:rFonts w:ascii="Times New Roman" w:hAnsi="Times New Roman"/>
          <w:b/>
          <w:sz w:val="20"/>
          <w:u w:val="single"/>
        </w:rPr>
        <w:t>Rule 433</w:t>
      </w:r>
      <w:r>
        <w:rPr>
          <w:rFonts w:ascii="Times New Roman" w:hAnsi="Times New Roman"/>
          <w:sz w:val="20"/>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sz w:val="20"/>
          <w:u w:val="single"/>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reference herein to the Registration Statement, the ATM Prospectus, any Prospectus Supplement, the Prospectus or any issuer free writing prospectus shall be deemed to refer to and include the documents, if any, that are or are deemed to be incorporated by reference therein (the “</w:t>
      </w:r>
      <w:r>
        <w:rPr>
          <w:rFonts w:ascii="Times New Roman" w:hAnsi="Times New Roman"/>
          <w:b/>
          <w:sz w:val="20"/>
          <w:u w:val="single"/>
        </w:rPr>
        <w:t>Incorporated Documents</w:t>
      </w:r>
      <w:r>
        <w:rPr>
          <w:rFonts w:ascii="Times New Roman" w:hAnsi="Times New Roman"/>
          <w:sz w:val="20"/>
        </w:rPr>
        <w:t>”), including, unless the context otherwise requires, the documents, if any, filed as exhibits to such Incorporated Documents. Any reference herein to the terms “amend,” “amendment” or “supplement” with respect to the Registration Statement, the ATM Prospectus, any Prospectus Supplement, the Prospectus or any issuer free writing prospectus shall be deemed to refer to and include the filing of any document under the Exchange Act on or after the most-recent effective date of the Registration Statement, or the respective dates of the ATM Prospectus, any Prospectus Supplement, Prospectus or such issuer free writing prospectus, as the case may be, and incorporated therein by reference. For purposes of this Agreement, all references to the Registration Statement, the Prospectus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hAnsi="Times New Roman"/>
          <w:b/>
          <w:sz w:val="20"/>
          <w:u w:val="single"/>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Placements</w:t>
      </w:r>
      <w:r>
        <w:rPr>
          <w:rFonts w:ascii="Times New Roman" w:hAnsi="Times New Roman"/>
          <w:sz w:val="20"/>
        </w:rPr>
        <w:t>. Each time that the Company wishes to issue and sell any Placement Shares through an Agent hereunder (each, a “</w:t>
      </w:r>
      <w:r>
        <w:rPr>
          <w:rFonts w:ascii="Times New Roman" w:hAnsi="Times New Roman"/>
          <w:b/>
          <w:sz w:val="20"/>
          <w:u w:val="single"/>
        </w:rPr>
        <w:t>Placement</w:t>
      </w:r>
      <w:r>
        <w:rPr>
          <w:rFonts w:ascii="Times New Roman" w:hAnsi="Times New Roman"/>
          <w:sz w:val="20"/>
        </w:rPr>
        <w:t>”), it will notify such Agent (the “</w:t>
      </w:r>
      <w:r>
        <w:rPr>
          <w:rFonts w:ascii="Times New Roman" w:hAnsi="Times New Roman"/>
          <w:b/>
          <w:sz w:val="20"/>
          <w:u w:val="single"/>
        </w:rPr>
        <w:t>Designated Agent</w:t>
      </w:r>
      <w:r>
        <w:rPr>
          <w:rFonts w:ascii="Times New Roman" w:hAnsi="Times New Roman"/>
          <w:sz w:val="20"/>
        </w:rPr>
        <w:t>”) by email notice (or other method mutually agreed to in writing by the parties) (each such notice, a “</w:t>
      </w:r>
      <w:r>
        <w:rPr>
          <w:rFonts w:ascii="Times New Roman" w:hAnsi="Times New Roman"/>
          <w:b/>
          <w:sz w:val="20"/>
          <w:u w:val="single"/>
        </w:rPr>
        <w:t>Placement Notice</w:t>
      </w:r>
      <w:r>
        <w:rPr>
          <w:rFonts w:ascii="Times New Roman" w:hAnsi="Times New Roman"/>
          <w:sz w:val="20"/>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hAnsi="Times New Roman"/>
          <w:b/>
          <w:sz w:val="20"/>
          <w:u w:val="single"/>
        </w:rPr>
        <w:t>Schedule 1</w:t>
      </w:r>
      <w:r>
        <w:rPr>
          <w:rFonts w:ascii="Times New Roman" w:hAnsi="Times New Roman"/>
          <w:sz w:val="20"/>
        </w:rPr>
        <w:t xml:space="preserve">. The Placement Notice must originate from one of the individuals authorized to act on behalf of the Company and set forth on </w:t>
      </w:r>
      <w:r>
        <w:rPr>
          <w:rFonts w:ascii="Times New Roman" w:hAnsi="Times New Roman"/>
          <w:b/>
          <w:sz w:val="20"/>
          <w:u w:val="single"/>
        </w:rPr>
        <w:t>Schedule 2</w:t>
      </w:r>
      <w:r>
        <w:rPr>
          <w:rFonts w:ascii="Times New Roman" w:hAnsi="Times New Roman"/>
          <w:sz w:val="20"/>
        </w:rPr>
        <w:t xml:space="preserve"> (with a copy to each of the other individuals from the Company listed on such </w:t>
      </w:r>
      <w:r>
        <w:rPr>
          <w:rFonts w:ascii="Times New Roman" w:hAnsi="Times New Roman"/>
          <w:b/>
          <w:sz w:val="20"/>
          <w:u w:val="single"/>
        </w:rPr>
        <w:t>Schedule 2</w:t>
      </w:r>
      <w:r>
        <w:rPr>
          <w:rFonts w:ascii="Times New Roman" w:hAnsi="Times New Roman"/>
          <w:sz w:val="20"/>
        </w:rPr>
        <w:t xml:space="preserve">), and shall be addressed to each of the recipients from the Designated Agent set forth on </w:t>
      </w:r>
      <w:r>
        <w:rPr>
          <w:rFonts w:ascii="Times New Roman" w:hAnsi="Times New Roman"/>
          <w:b/>
          <w:sz w:val="20"/>
          <w:u w:val="single"/>
        </w:rPr>
        <w:t>Schedule 2</w:t>
      </w:r>
      <w:r>
        <w:rPr>
          <w:rFonts w:ascii="Times New Roman" w:hAnsi="Times New Roman"/>
          <w:sz w:val="20"/>
        </w:rPr>
        <w:t xml:space="preserve">, as such </w:t>
      </w:r>
      <w:r>
        <w:rPr>
          <w:rFonts w:ascii="Times New Roman" w:hAnsi="Times New Roman"/>
          <w:b/>
          <w:sz w:val="20"/>
          <w:u w:val="single"/>
        </w:rPr>
        <w:t>Schedule 2</w:t>
      </w:r>
      <w:r>
        <w:rPr>
          <w:rFonts w:ascii="Times New Roman" w:hAnsi="Times New Roman"/>
          <w:sz w:val="20"/>
        </w:rPr>
        <w:t xml:space="preserve"> may be updated by either party from time to time by sending a written notice containing a revised </w:t>
      </w:r>
      <w:r>
        <w:rPr>
          <w:rFonts w:ascii="Times New Roman" w:hAnsi="Times New Roman"/>
          <w:b/>
          <w:sz w:val="20"/>
          <w:u w:val="single"/>
        </w:rPr>
        <w:t>Schedule 2</w:t>
      </w:r>
      <w:r>
        <w:rPr>
          <w:rFonts w:ascii="Times New Roman" w:hAnsi="Times New Roman"/>
          <w:sz w:val="20"/>
        </w:rPr>
        <w:t xml:space="preserve"> to the other party in the manner provided in Section 12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The Placement Notice shall be effective upon receipt by the Designated Agent unless and until (i) in accordance with the notice requirements set forth in Section 4, the Designated Agent declines to accept the terms contained therein for any reason, in its sole discretion, within two Trading Days of the date the Designated Agent receives the Placement Notice, (ii) in accordance with the notice requirements set forth in Section 4,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Designated Agent in connection with the sale of the Placement Shares effected through the Designated Agent shall be calculated in accordance with the terms set forth in </w:t>
      </w:r>
      <w:r>
        <w:rPr>
          <w:rFonts w:ascii="Times New Roman" w:hAnsi="Times New Roman"/>
          <w:b/>
          <w:sz w:val="20"/>
          <w:u w:val="single"/>
        </w:rPr>
        <w:t>Schedule 3</w:t>
      </w:r>
      <w:r>
        <w:rPr>
          <w:rFonts w:ascii="Times New Roman" w:hAnsi="Times New Roman"/>
          <w:sz w:val="20"/>
        </w:rPr>
        <w:t xml:space="preserve">.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Sale of Placement Shares by the Agents</w:t>
      </w:r>
      <w:r>
        <w:rPr>
          <w:rFonts w:ascii="Times New Roman" w:hAnsi="Times New Roman"/>
          <w:sz w:val="20"/>
        </w:rPr>
        <w:t>. On the basis of the representations and warranties herein contained and subject to the terms and conditions herein set forth, including Section 5(c), upon the Designated Agent’s acceptance of the terms of a Placement Notice as provided in Section 2,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hAnsi="Times New Roman"/>
          <w:b/>
          <w:sz w:val="20"/>
          <w:u w:val="single"/>
        </w:rPr>
        <w:t>Nasdaq</w:t>
      </w:r>
      <w:r>
        <w:rPr>
          <w:rFonts w:ascii="Times New Roman" w:hAnsi="Times New Roman"/>
          <w:sz w:val="20"/>
        </w:rPr>
        <w:t xml:space="preserve">”) to sell such Placement Shares up to the number or amount specified in, and otherwise in accordance with the terms of, such Placement Notice. The Designated Agent will provide written confirmation to the Company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Designated Agent may sell Placement Shares by any method permitted by law deemed to be an “at the market offering” as defined in Rule 415 of the Securities Act, including sales made directly on or through Nasdaq, on or through any other existing trading market for the Common Stock or to or through a market maker. If expressly authorized by the Company (including in a Placement Notice), the Designated Agent may also sell Placement Shares in negotiated transactions. Notwithstanding the provisions of Section 6(tt), except as may be otherwise agreed by the Company and the applicable Agent, no Agent shall purchase Placement Shares on a principal basis pursuant to this Agreement unless the Company and such Agent enter into a separate written agreement setting forth the terms of such sale.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state and federal laws, rules and regulations and the rules of Nasdaq to sell such Placement Shares as required under this Agreement and (iii) no Agent shall be under any obligation to purchase Placement Shares on a principal basis pursuant to this Agreement unless the Company and such Agent enter into a separate written agreement setting forth the terms of such sale. For the purposes hereof, “</w:t>
      </w:r>
      <w:r>
        <w:rPr>
          <w:rFonts w:ascii="Times New Roman" w:hAnsi="Times New Roman"/>
          <w:b/>
          <w:sz w:val="20"/>
          <w:u w:val="single"/>
        </w:rPr>
        <w:t>Trading Day</w:t>
      </w:r>
      <w:r>
        <w:rPr>
          <w:rFonts w:ascii="Times New Roman" w:hAnsi="Times New Roman"/>
          <w:sz w:val="20"/>
        </w:rPr>
        <w:t xml:space="preserve">” means any day on which the Common Stock is purchased and sold on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Suspension of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or the Agents may, upon notice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suspend any sale of Placement Shares;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suspension shall not affect or impair either party’s obligations with 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 w:hAnsi="Times New Roman"/>
          <w:b/>
          <w:sz w:val="20"/>
          <w:u w:val="single"/>
        </w:rPr>
        <w:t>Schedule 2</w:t>
      </w:r>
      <w:r>
        <w:rPr>
          <w:rFonts w:ascii="Times New Roman" w:hAnsi="Times New Roman"/>
          <w:sz w:val="20"/>
        </w:rPr>
        <w:t xml:space="preserve"> hereto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of this Agreement, during any period in which the Company is, or could reasonably be deemed to be, in possession of material non-public information, the Company and the Agents agree that (i) no sale of Placement Shares will take place, (ii) the Company shall not request the sale of any Placement Shares and shall cancel any effective Placement Notices instructing the Designated Agent to make any sales and (iii) no Agent shall be obligated to sell or offer to sell any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Settlement and Delivery of the Placement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Settlement of Placement Shares</w:t>
      </w:r>
      <w:r>
        <w:rPr>
          <w:rFonts w:ascii="Times New Roman" w:hAnsi="Times New Roman"/>
          <w:sz w:val="20"/>
        </w:rPr>
        <w:t>. Unless otherwise specified in the applicable Placement Notice, settlement for sales of Placement Shares will occur on the first Trading Day (or such other day as is industry practice or as is required for regular-way trading) following the date on which such sales are made (each, a “</w:t>
      </w:r>
      <w:r>
        <w:rPr>
          <w:rFonts w:ascii="Times New Roman" w:hAnsi="Times New Roman"/>
          <w:b/>
          <w:sz w:val="20"/>
          <w:u w:val="single"/>
        </w:rPr>
        <w:t>Settlement Date</w:t>
      </w:r>
      <w:r>
        <w:rPr>
          <w:rFonts w:ascii="Times New Roman" w:hAnsi="Times New Roman"/>
          <w:sz w:val="20"/>
        </w:rPr>
        <w:t>”).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gross sales price received by the Designated Agent at which such Placement Shares were sold, after deduction of (i) the Designated Agent’s commission, discount or other compensation for such sales payable by the Company pursuant to Section 2 hereof, (ii) any other amounts due and payable by the Company to the Designated Agent hereunder pursuant to Section 7(g) hereof and (iii) any transaction fees imposed by any governmental or self-regulatory organization in respect of such sales.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Delivery of Placement Shares</w:t>
      </w:r>
      <w:r>
        <w:rPr>
          <w:rFonts w:ascii="Times New Roman" w:hAnsi="Times New Roman"/>
          <w:sz w:val="20"/>
        </w:rPr>
        <w:t>. On or before each Settlement Date, the Company will issue the Placement Shares being sold on such date and will, or will cause its transfer agent to, electronically transfer such Placement Shares by crediting the Designated Agent’s or its designee’s account (provided the Designated Agent shall have given the Company written notice of such designee prior to the Settlement Date) at The Depository Trust Company through its Deposit and Withdrawal at Custodian System (“</w:t>
      </w:r>
      <w:r>
        <w:rPr>
          <w:rFonts w:ascii="Times New Roman" w:hAnsi="Times New Roman"/>
          <w:b/>
          <w:sz w:val="20"/>
          <w:u w:val="single"/>
        </w:rPr>
        <w:t>DWAC</w:t>
      </w:r>
      <w:r>
        <w:rPr>
          <w:rFonts w:ascii="Times New Roman" w:hAnsi="Times New Roman"/>
          <w:sz w:val="20"/>
        </w:rPr>
        <w:t xml:space="preserve">”) or by such other means of delivery as may be mutually agreed upon by the parties hereto, which in all cases shall be duly authorized, freely tradeable, transferable, registered shares of Common Stock in good deliverable form. On each Settlement Date, the Designated Agent will deliver the related Net Proceeds in same day funds to an account designated by the Company on or prior to the Settlement Date. The Designated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or such other time as mutually agreed upon, on a Settlement Date (other than as a result of a failure by the Designated Agent to provide instructions for delivery), the Company will (i) take all necessary action to cause the full amount of any Net Proceeds that were delivered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account with respect to such settlement, together with any costs reasonably incurred by the Designated Agent and/or its clearing firm in connection with recovering such Net Proceeds, to be immediately returned to the Designated Agent or its clearing firm no later than 5:00 P.M., New York City time, or such other time as mutually agreed upon, on such Settlement Date, by wire transfer of immediately available funds to an account designated by the Designated Agent or its clearing firm, (ii) indemnify and hold the Designated Agent and its clearing firm harmless against any loss, claim, damage, or expense (including reasonable and documented legal fees and expenses), as incurred, arising out of or in connection with such default by the Company or its transfer agent (if applicable) and (iii) pay to the Designated Agent any commission, discount or other compensation to which it would otherwise have been entitled absent such default. Certificates for the Placement Shares, if any, shall be in such denominations and registered in such names as the Designated Agent may request in writing one Business Day (as defined below) before the applicable Settlement Date. Certificates for the Placement Shares, if any, will be made available by the Company for examination and packaging by the Designated Agent in New York City not later than 12:00 P.M., New York City time, on the Business Day prior to the applicable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Limitations on Offering Size</w:t>
      </w:r>
      <w:r>
        <w:rPr>
          <w:rFonts w:ascii="Times New Roman" w:hAnsi="Times New Roman"/>
          <w:sz w:val="20"/>
        </w:rPr>
        <w:t xml:space="preserve">. Under no circumstances shall the Company cause or request the offer or sale of any Placement Shares if, after giving effect to the sale of such Placement Shares, the aggregate number or gross sales proceeds of Placement Shares sold pursuant to this Agreement would exceed the lesser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is authorized to issue and sell from time to time, and notified to the Designated Agent in writing, or (v) the dollar amount of shares of Common Stock for which the Company has filed the Prospectus.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Designated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Designated Agent shall have no obligation in connection with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Sales Through Agents</w:t>
      </w:r>
      <w:r>
        <w:rPr>
          <w:rFonts w:ascii="Times New Roman" w:hAnsi="Times New Roman"/>
          <w:sz w:val="20"/>
        </w:rPr>
        <w:t xml:space="preserve">. With respect to the offering and sale of Placement Shares pursuant to this Agreement, the Company agrees that any offer to sell Placement Shares, any solicitation of an offer to buy Placement Shares, and any sales of Placement Shares shall only be effected by or through a single Agent on any single Trading Day, and the Company shall in no event request that more than one Agent offer or sell Placement Shares pursuant to this Agreement on the same Trading Day.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Company</w:t>
      </w:r>
      <w:r>
        <w:rPr>
          <w:rFonts w:ascii="Times New Roman" w:hAnsi="Times New Roman"/>
          <w:sz w:val="20"/>
        </w:rPr>
        <w:t>. The Company represents and warrants to, and agrees with, each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Times New Roman" w:hAnsi="Times New Roman"/>
          <w:b/>
          <w:sz w:val="20"/>
          <w:u w:val="single"/>
        </w:rPr>
        <w:t>Applicable Time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Company and the transactions contemplated by this Agreement meet the requirements for and comply with the conditions for the use of Form S-3 (including General Instructions I.A and I.B.1.) under the Securities Act. The Registration Statement will be filed with the Commission and will be declared effective by the Commission under the Securities Act prior to the issuance of any Placement Notices by the Company. At the time the Registration Statement becomes effective or is declared effective and at the time the Company’s most recent Annual Report on Form 10-K was filed with the Commission, if later,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Each Agent is named as an agent engaged by the Company in the section entitled “Plan of Distribution” in the Prospectus. The Company has not received, and has no notice from the Commission of, any notice pursuant to Rule 401(g)(1) under the Securities Act objecting to the use of the shelf registration statement form. No stop order of the Commission preventing or suspending the use of the Base Prospectus, the ATM Prospectus, any Prospectus Supplement or the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Placement Shares that may be sold pursuant to this Agreement, in accordance with Rule 457(o) under the Securities Act. Copies of the Registration Statement, the Prospectus, any such amendments or supplements to any of the foregoing and all Incorporated Documents that were filed with the Commission on or prior to the date of this Agreement have been delivered, or are available through EDGAR, to the Agents and their counsel. </w:t>
      </w:r>
    </w:p>
    <w:p>
      <w:pPr>
        <w:pStyle w:val="TextBody"/>
        <w:bidi w:val="0"/>
        <w:spacing w:before="240" w:after="0"/>
        <w:jc w:val="left"/>
        <w:rPr>
          <w:rFonts w:ascii="Times New Roman" w:hAnsi="Times New Roman"/>
          <w:sz w:val="20"/>
        </w:rPr>
      </w:pPr>
      <w:r>
        <w:rPr>
          <w:rFonts w:ascii="Times New Roman" w:hAnsi="Times New Roman"/>
          <w:sz w:val="20"/>
        </w:rPr>
        <w:t xml:space="preserve">(b) Each of the Registration Statement and any post-effective amendment thereto, at the time it became or becomes effective, at each deemed effective date with respect to the Agents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Prospectus and any amendment or supplement thereto, when so filed with the Commission under Rule 424(b) under the Securities Act, complied, complies and as of each Applicable Time will comply in all material respects with the requirements of the Securities Act, and each ATM Prospectus, Prospectus Supplement, Prospectus or issuer free writing prospectus (or any amendments or supplements to any of the foregoing) furnished to the Agents for use in connection with the offering of the Placement Shares was identical to the electronically transmitted copies thereof filed with the Commission pursuant to EDGAR, except to the extent permitted by Regulation S-T. Neither the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conformed in all material respects with the requirements of the Exchange Act and were filed on a timely basis with the Commission, and any further Incorporated Documents so filed and incorporated after the date of this Agreement will be filed on a timely basis and, when so filed, will conform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At the time of filing the Registration Statement and (ii) at the time of the execution of this Agreement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 </w:t>
      </w:r>
    </w:p>
    <w:p>
      <w:pPr>
        <w:pStyle w:val="TextBody"/>
        <w:bidi w:val="0"/>
        <w:spacing w:before="240" w:after="0"/>
        <w:jc w:val="left"/>
        <w:rPr>
          <w:rFonts w:ascii="Times New Roman" w:hAnsi="Times New Roman"/>
          <w:sz w:val="20"/>
        </w:rPr>
      </w:pPr>
      <w:r>
        <w:rPr>
          <w:rFonts w:ascii="Times New Roman" w:hAnsi="Times New Roman"/>
          <w:sz w:val="20"/>
        </w:rPr>
        <w:t>(d) Helix Acquisition Corp. II (“</w:t>
      </w:r>
      <w:r>
        <w:rPr>
          <w:rFonts w:ascii="Times New Roman" w:hAnsi="Times New Roman"/>
          <w:b/>
          <w:sz w:val="20"/>
          <w:u w:val="single"/>
        </w:rPr>
        <w:t>Helix</w:t>
      </w:r>
      <w:r>
        <w:rPr>
          <w:rFonts w:ascii="Times New Roman" w:hAnsi="Times New Roman"/>
          <w:sz w:val="20"/>
        </w:rPr>
        <w:t>”), the Company’s predecessor entity, was, and since February 13, 2024 had been, an “emerging growth company,” as defined in Section 2(a) of the Securities Act (an “</w:t>
      </w:r>
      <w:r>
        <w:rPr>
          <w:rFonts w:ascii="Times New Roman" w:hAnsi="Times New Roman"/>
          <w:b/>
          <w:sz w:val="20"/>
          <w:u w:val="single"/>
        </w:rPr>
        <w:t>Emerging Growth Company</w:t>
      </w:r>
      <w:r>
        <w:rPr>
          <w:rFonts w:ascii="Times New Roman" w:hAnsi="Times New Roman"/>
          <w:sz w:val="20"/>
        </w:rPr>
        <w:t xml:space="preserve">”). The Company is, and since the consummation of the merger between Helix II Merger Sub, Inc., a wholly owned subsidiary of Helix, and TheRas, Inc. on August 11, 2025, has been, an Emerging Growth Company. </w:t>
      </w:r>
    </w:p>
    <w:p>
      <w:pPr>
        <w:pStyle w:val="TextBody"/>
        <w:bidi w:val="0"/>
        <w:spacing w:before="240" w:after="0"/>
        <w:jc w:val="left"/>
        <w:rPr>
          <w:rFonts w:ascii="Times New Roman" w:hAnsi="Times New Roman"/>
          <w:sz w:val="20"/>
        </w:rPr>
      </w:pPr>
      <w:r>
        <w:rPr>
          <w:rFonts w:ascii="Times New Roman" w:hAnsi="Times New Roman"/>
          <w:sz w:val="20"/>
        </w:rPr>
        <w:t xml:space="preserve">(e) Each issuer free writing prospectus, as of its issue date and as of each Applicable Time,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distributed and, prior to the later to occur of each Settlement Date and completion of the Agents’ distribution of the Placement Shares under this Agreement, will not distribute any offering material in connection with the offering and sale of the Placement Shares other than the Registration Statement, the Prospectus or any Permitted Free Writing Prospectus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(g)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(h) The Company is subject to and in compliance in all material respects with the reporting requirements of Section 13 or Section 15(d) of the Exchange Act. The Common Stock is registered pursuant to Section 12(b)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(i) Except for the Agents, there is no broker, finder or other party that is entitled to receive from the Company or any of its Subsidiaries (as defined below) any brokerage or finder’s fee or other fee or commission as a result of any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been duly organized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and the Prospectus and to enter into and perform its obligations under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Agreement. The Company is duly qualified to transact business as a foreign corporation and is in good standing under the laws of each jurisdiction that requires such qualification, whether by reason of the ownership or leasing of property or the conduct of business, except to the extent that the failure to be so qualified or in good standing would not reasonably be expected, individually or in the aggregate,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hAnsi="Times New Roman"/>
          <w:b/>
          <w:sz w:val="20"/>
          <w:u w:val="single"/>
        </w:rPr>
        <w:t>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(k) Each of the Company’s “subsidiaries” (for purposes of this Agreement, as defined in Rule 405 under the Securities Act) (each, a “</w:t>
      </w:r>
      <w:r>
        <w:rPr>
          <w:rFonts w:ascii="Times New Roman" w:hAnsi="Times New Roman"/>
          <w:b/>
          <w:sz w:val="20"/>
          <w:u w:val="single"/>
        </w:rPr>
        <w:t>Subsidiary</w:t>
      </w:r>
      <w:r>
        <w:rPr>
          <w:rFonts w:ascii="Times New Roman" w:hAnsi="Times New Roman"/>
          <w:sz w:val="20"/>
        </w:rPr>
        <w:t>” and collectively, the “</w:t>
      </w:r>
      <w:r>
        <w:rPr>
          <w:rFonts w:ascii="Times New Roman" w:hAnsi="Times New Roman"/>
          <w:b/>
          <w:sz w:val="20"/>
          <w:u w:val="single"/>
        </w:rPr>
        <w:t>Subsidiaries</w:t>
      </w:r>
      <w:r>
        <w:rPr>
          <w:rFonts w:ascii="Times New Roman" w:hAnsi="Times New Roman"/>
          <w:sz w:val="20"/>
        </w:rPr>
        <w:t xml:space="preserve">”) has been duly organized and is validly existing in good standing (where such concept exists) under the laws of the jurisdiction of its organization and has full power and authority to acquire, own, lease and operate its properties, and to conduct its business as described in the Registration Statement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and state securities laws and is owned by the Company, directly or through other wholly-owned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 </w:t>
      </w:r>
    </w:p>
    <w:p>
      <w:pPr>
        <w:pStyle w:val="TextBody"/>
        <w:bidi w:val="0"/>
        <w:spacing w:before="240" w:after="0"/>
        <w:jc w:val="left"/>
        <w:rPr>
          <w:rFonts w:ascii="Times New Roman" w:hAnsi="Times New Roman"/>
          <w:sz w:val="20"/>
        </w:rPr>
      </w:pPr>
      <w:r>
        <w:rPr>
          <w:rFonts w:ascii="Times New Roman" w:hAnsi="Times New Roman"/>
          <w:sz w:val="20"/>
        </w:rPr>
        <w:t>(l) The Company has the authorized and outstanding capitalization as set forth in the Company’s Annual Report on Form 10-K for the most recent fiscal year or, if later, the Company’s Quarterly Report on Form 10-Q for the most recent fiscal quarter, as of the dates referred to therein (subject, in each case, to the issuance of Placement Shares under this Agreement, the issuance of shares of Common Stock upon exercise of share options and warrants disclosed as outstanding as of the date hereof in the Registration Statement and the Prospectus and the grant of options under existing share option plans described in the Registration Statement and the Prospectus). The Common Stock conforms in all material respects to the description thereof contained in the Registration Statement and the Prospectus, including under the heading “Description of Capital Stock.” All of the issued and outstanding shares of Common Stock have been duly authorized and validly issued and are fully paid and nonassessable, and have been issued in compliance with all federal, state and local securities laws. None of the outstanding shares of Common Stock of the Company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Prospectus and in effect as of the date hereof (collectively, the “</w:t>
      </w:r>
      <w:r>
        <w:rPr>
          <w:rFonts w:ascii="Times New Roman" w:hAnsi="Times New Roman"/>
          <w:b/>
          <w:sz w:val="20"/>
          <w:u w:val="single"/>
        </w:rPr>
        <w:t>Stock Plans</w:t>
      </w:r>
      <w:r>
        <w:rPr>
          <w:rFonts w:ascii="Times New Roman" w:hAnsi="Times New Roman"/>
          <w:sz w:val="20"/>
        </w:rPr>
        <w:t xml:space="preserve">”) and the options or other rights granted thereunder, set forth in the Registration Statement and the Prospectus accurately and fairly present the information required to be shown with respect to such Stock Plans and the options or other rights granted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Prospectus. The issuance and sale of the Placement Shares as contemplated hereby shall not be subject to any preemptive rights, rights of first refusal or other similar rights to subscribe for or purchase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(n) There is no statute, regulation, contract, agreement or other document required to be described in the Registration Statement, Prospectus or in any Incorporated Document, or to be filed as an exhibit to the Registration Statement or any Incorporated Document which is not described or filed as required. The statements set forth or incorporated by reference in the Prospectus,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Prospectus under the headings “Business—Government Regulation,” and “Description of Capital Stock,” insofar as such statements summarize legal matters, agreements, documents or proceedings discussed therein, are accurate and fair summaries of such legal matters, agreements, documents or proceedings. Neither the Company nor any of its Subsidiaries has sent or received any communication regarding termination of, or intent not to renew or render performance under, any of the contracts or agreements referred to or described in the Prospectus or any free writing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which threat of termination or non-renewal has not been rescinded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(o) 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(p) The Company is not and, after giving effect to the offering and sale of the Placement Shares and the application of the proceeds thereof as described in the Prospectus, will not be an “investment company” as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(q) 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Prospectus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Times New Roman" w:hAnsi="Times New Roman"/>
          <w:b/>
          <w:sz w:val="20"/>
          <w:u w:val="single"/>
        </w:rPr>
        <w:t>FINRA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(r) Subsequent to the respective dates as of which information is given in the Registration Statement and the Prospectus: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 (C) issued or granted any shares of the Company’s capital stock or securities convertible into or exchangeable or exercisable for or that represent the right to receive shares of the Company’s capital stock other than under the Stock Plans;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 </w:t>
      </w:r>
    </w:p>
    <w:p>
      <w:pPr>
        <w:pStyle w:val="TextBody"/>
        <w:bidi w:val="0"/>
        <w:spacing w:before="240" w:after="0"/>
        <w:jc w:val="left"/>
        <w:rPr>
          <w:rFonts w:ascii="Times New Roman" w:hAnsi="Times New Roman"/>
          <w:sz w:val="20"/>
        </w:rPr>
      </w:pPr>
      <w:r>
        <w:rPr>
          <w:rFonts w:ascii="Times New Roman" w:hAnsi="Times New Roman"/>
          <w:sz w:val="20"/>
        </w:rPr>
        <w:t xml:space="preserve">(s) There are no persons (as such term is defined in Rule 1-02 of Regulation S-X promulgated under the Securities Act) with registration or other similar rights to have any equity or debt securities of the Company registered for sale under the Registration Statement or included in the offering contemplated by this Agreement, except for such rights as have been duly waived in a writing previously furnished to the Agents. </w:t>
      </w:r>
    </w:p>
    <w:p>
      <w:pPr>
        <w:pStyle w:val="TextBody"/>
        <w:bidi w:val="0"/>
        <w:spacing w:before="240" w:after="0"/>
        <w:jc w:val="left"/>
        <w:rPr>
          <w:rFonts w:ascii="Times New Roman" w:hAnsi="Times New Roman"/>
          <w:sz w:val="20"/>
        </w:rPr>
      </w:pPr>
      <w:r>
        <w:rPr>
          <w:rFonts w:ascii="Times New Roman" w:hAnsi="Times New Roman"/>
          <w:sz w:val="20"/>
        </w:rPr>
        <w:t>(t) The financial statements included or incorporated by reference in the Registration Statement and the Prospectus, together with the related notes and schedules, present fairly the consolidated financial position of the Company and the Subsidiaries as of the dates indicated and the consolidated results of operations, cash flows and changes in stockholders’ equity of the Company and the Subsidiaries for the periods specified and have been prepared in compliance with the requirements of the Securities Act and Exchange Act and in conformity with United States generally accepted accounting principles (“</w:t>
      </w:r>
      <w:r>
        <w:rPr>
          <w:rFonts w:ascii="Times New Roman" w:hAnsi="Times New Roman"/>
          <w:b/>
          <w:sz w:val="20"/>
          <w:u w:val="single"/>
        </w:rPr>
        <w:t>GAAP</w:t>
      </w:r>
      <w:r>
        <w:rPr>
          <w:rFonts w:ascii="Times New Roman" w:hAnsi="Times New Roman"/>
          <w:sz w:val="20"/>
        </w:rPr>
        <w:t xml:space="preserve">”) applied on a consistent basis during the periods involved. To the extent applicable, any pro forma financial statements, information or data included or incorporated by reference in the Registration Statement and the Prospectus comply with the requirements of Regulation S-X of the Securities Act, including, without limitation, Article 11 thereof, fairly present in all material respects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 other financial data set forth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incorporated by reference in the Registration Statement and the Prospectus is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therein as required. The Company and the Subsidiaries do not have any material liabilities or obligations, direct or contingent (including any off-balance sheet obligations or any “variable interest entities” as that term is used in Accounting Standards Codification Paragraph 810-10-25-20), not disclosed in the Registration Statement and the Prospectus. All disclosures contained in the Registration Statement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or incorporated by reference in the Registration Statement and the Prospectus were obtained or derived from sources which the Company reasonably and in good faith believes are reliable and accurate, such data agree with the sources from which they are derived,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Times New Roman" w:hAnsi="Times New Roman"/>
          <w:b/>
          <w:sz w:val="20"/>
          <w:u w:val="single"/>
        </w:rPr>
        <w:t>PCAOB</w:t>
      </w:r>
      <w:r>
        <w:rPr>
          <w:rFonts w:ascii="Times New Roman" w:hAnsi="Times New Roman"/>
          <w:sz w:val="20"/>
        </w:rPr>
        <w:t xml:space="preserve">”), has participated in or otherwise aided the preparation of, or audited, the financial statements, supporting schedules or other financial data filed with the Commission as a part of the Registration Statement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(u) 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or the Prospectus and are not so described, (ii) could reasonably be expected to have a material adverse effect on the ability of the Company to perform its obligations under this Agreement or on the consummation of any of the transactions contemplated hereby or (iii) 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Prospectus,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(v) The Company owns or leases all such real properties as are necessary to the conduct of its operations as presently conducted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(w) 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default or violation that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Deloitte &amp; Touche LLP, whose report on the consolidated financial statements of the Company is filed with the Commission as part of the Company’s most recent Annual Report on Form 10-K filed with the Commission and incorporated by reference in the Registration Statement and the Prospectus, is (i) an independent registered public accounting firm as required by the Securities Act, the Exchange Act and the rules of the PCAOB,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 Deloitte &amp; Touche LLP has not been engaged by the Company to perform any “prohibited activities” or provided to the Company any “non-audit services” (as defined in Section 10A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(y) 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(z) All United States federal income tax returns of the Company and its Subsidiaries required by law to be filed have been filed or extensions thereof have been requested, and all taxes shown by such returns or that otherwise have been assessed, which are due and payable, have been paid, except assessments that are being contested in good faith and as to which adequate reserves have been provided under GAAP. Each of the Company and its Subsidiaries has filed all foreign, state, provincial, local or other tax returns that are required to have been filed pursuant to applicable foreign, state, provincial, local or other law, or have requested extensions thereof,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(aa) No material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(bb) Each of the Company and its Subsidiaries are insured by recognized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to have a Material Adverse Effect. Neither the Company nor any of its Subsidiaries has been denied any material insurance coverage which it has sought or for which it has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The Company and each of its Subsidiaries has good and marketable title in fee simple to all real property owned by them and good and marketable title to all personal property owned by them that is material to their business (except with respect to intellectual property, which is addressed exclusively in Section 6(pp) and Section 6(ggg) below), in each case free and clear of all liens, encumbrances and defects except such as do not materially affect the value of such property and do not interfere with the use made and proposed to be made of such property by the Company or any Subsidiary; and any real property and buildings held under lease by the Company or any of its Subsidiaries are held by them under valid, subsisting and enforceable leases (subject to the effects of (A) bankruptcy, insolvency, fraudulent conveyance, fraudulent transfer, reorganization, moratorium or other similar laws relating to or affecting the rights or remedies of creditors generally; (B) the application of general principles of equity (including, without limitation, concepts of materiality, reasonableness, good faith and fair dealing, regardless of whether enforcement is considered in proceedings at law or in equity); and (C) applicable law and public policy with respect to rights to indemnity and contribution) with such exceptions as are not material and do not interfere with the use made and proposed to be made of such property and buildings by the Company or such Subsidiary. </w:t>
      </w:r>
    </w:p>
    <w:p>
      <w:pPr>
        <w:pStyle w:val="TextBody"/>
        <w:bidi w:val="0"/>
        <w:spacing w:before="240" w:after="0"/>
        <w:jc w:val="left"/>
        <w:rPr>
          <w:rFonts w:ascii="Times New Roman" w:hAnsi="Times New Roman"/>
          <w:sz w:val="20"/>
        </w:rPr>
      </w:pPr>
      <w:r>
        <w:rPr>
          <w:rFonts w:ascii="Times New Roman" w:hAnsi="Times New Roman"/>
          <w:sz w:val="20"/>
        </w:rPr>
        <w:t>(dd) 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and the Prospectus (collectively, “</w:t>
      </w:r>
      <w:r>
        <w:rPr>
          <w:rFonts w:ascii="Times New Roman" w:hAnsi="Times New Roman"/>
          <w:b/>
          <w:sz w:val="20"/>
          <w:u w:val="single"/>
        </w:rPr>
        <w:t>Permits</w:t>
      </w:r>
      <w:r>
        <w:rPr>
          <w:rFonts w:ascii="Times New Roman" w:hAnsi="Times New Roman"/>
          <w:sz w:val="20"/>
        </w:rPr>
        <w:t xml:space="preserve">”).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(ee) The Company and each of its Subsidiaries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(ff) The Company has established and maintains disclosure controls and procedures (as defined in Rules 13a-15 and 15d-15 under the Exchange Act), which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(gg) Neither the Company, nor any of its Subsidiaries, nor to the knowledge of the Company, any of its or their respective directors, officers or controlling persons has taken, directly or indirectly, without giving effect to any actions taken by the Agents,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 </w:t>
      </w:r>
    </w:p>
    <w:p>
      <w:pPr>
        <w:pStyle w:val="TextBody"/>
        <w:bidi w:val="0"/>
        <w:spacing w:before="240" w:after="0"/>
        <w:jc w:val="left"/>
        <w:rPr>
          <w:rFonts w:ascii="Times New Roman" w:hAnsi="Times New Roman"/>
          <w:sz w:val="20"/>
        </w:rPr>
      </w:pPr>
      <w:r>
        <w:rPr>
          <w:rFonts w:ascii="Times New Roman" w:hAnsi="Times New Roman"/>
          <w:sz w:val="20"/>
        </w:rPr>
        <w:t>(hh) Except as could not reasonably be expected, individually or in the aggregate, to have a Material Adverse Effect: (A) neither the Company nor any of its Subsidiaries is in violation of any United States federal, state or local, or any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emissions, discharges, release or threatened release of chemicals, pollutants, contaminants, wastes, toxic substances, hazardous substances, petroleum or petroleum products (collectively, “</w:t>
      </w:r>
      <w:r>
        <w:rPr>
          <w:rFonts w:ascii="Times New Roman" w:hAnsi="Times New Roman"/>
          <w:b/>
          <w:sz w:val="20"/>
          <w:u w:val="single"/>
        </w:rPr>
        <w:t>Hazardous Materials</w:t>
      </w:r>
      <w:r>
        <w:rPr>
          <w:rFonts w:ascii="Times New Roman" w:hAnsi="Times New Roman"/>
          <w:sz w:val="20"/>
        </w:rPr>
        <w:t>”) or otherwise related to the manufacture, processing, distribution, use, treatment, storage, disposal, transport or handling of Hazardous Materials (collectively, “</w:t>
      </w:r>
      <w:r>
        <w:rPr>
          <w:rFonts w:ascii="Times New Roman" w:hAnsi="Times New Roman"/>
          <w:b/>
          <w:sz w:val="20"/>
          <w:u w:val="single"/>
        </w:rPr>
        <w:t>Environmental Laws</w:t>
      </w:r>
      <w:r>
        <w:rPr>
          <w:rFonts w:ascii="Times New Roman" w:hAnsi="Times New Roman"/>
          <w:sz w:val="20"/>
        </w:rPr>
        <w:t xml:space="preserve">”), (B) the Company and its Subsidiaries have all material permits, authorizations and approvals required under any applicable Environmental Laws and are in compliance with their requirements; (C)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to the Company’s knowledge, there are no events, or circumstances that might reasonably be expected to result in a violation of any Environmental Law or form the basis of an order for clean-up or remediation, or an action, suit, investigation or proceeding by any private party or governmental body or agency, against or affecting the Company or any of its Subsidiaries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(ii) The Company and any “employee benefit plan” (as defined under the Employee Retirement Income Security Act of 1974, as amended, and the regulations and published interpretations thereunder (collectively, “</w:t>
      </w:r>
      <w:r>
        <w:rPr>
          <w:rFonts w:ascii="Times New Roman" w:hAnsi="Times New Roman"/>
          <w:b/>
          <w:sz w:val="20"/>
          <w:u w:val="single"/>
        </w:rPr>
        <w:t>ERISA</w:t>
      </w:r>
      <w:r>
        <w:rPr>
          <w:rFonts w:ascii="Times New Roman" w:hAnsi="Times New Roman"/>
          <w:sz w:val="20"/>
        </w:rPr>
        <w:t>”)) established or maintained by the Company, or its “ERISA Affiliates” (as defined below) are in compliance in all material respects with ERISA. “ERISA Affiliates” means, with respect to the Company, any member of any group of organizations described in Sections 414(b), (c), (m) or (o) of the Internal Revenue Code of 1986, as amended, and the regulations and published interpretations thereunder (the “</w:t>
      </w:r>
      <w:r>
        <w:rPr>
          <w:rFonts w:ascii="Times New Roman" w:hAnsi="Times New Roman"/>
          <w:b/>
          <w:sz w:val="20"/>
          <w:u w:val="single"/>
        </w:rPr>
        <w:t>Code</w:t>
      </w:r>
      <w:r>
        <w:rPr>
          <w:rFonts w:ascii="Times New Roman" w:hAnsi="Times New Roman"/>
          <w:sz w:val="20"/>
        </w:rPr>
        <w:t xml:space="preserve">”) of which the Company is a member. No “reportable event”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“amount of unfunded benefit liabilities” (as defined under ERISA). Neither the Company nor any of its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nothing has occurred, whether by action or failure to act, which would cause the loss of such qualification.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(jj) The Company is in compliance with, and there is and has been no failure on the part of the Company and, to the Company’s knowledge, any of the Company’s directors or officers, in their capacities as such, to comply with, any provision of the Sarbanes-Oxley Act of 2002 and all rules and regulations promulgated thereunder or implementing the provisions thereof (the “</w:t>
      </w:r>
      <w:r>
        <w:rPr>
          <w:rFonts w:ascii="Times New Roman" w:hAnsi="Times New Roman"/>
          <w:b/>
          <w:sz w:val="20"/>
          <w:u w:val="single"/>
        </w:rPr>
        <w:t>Sarbanes-Oxley Act</w:t>
      </w:r>
      <w:r>
        <w:rPr>
          <w:rFonts w:ascii="Times New Roman" w:hAnsi="Times New Roman"/>
          <w:sz w:val="20"/>
        </w:rPr>
        <w:t xml:space="preserve">”) and the rules and regulations promulgated in connection therewith, including Section 402 relating to loans. </w:t>
      </w:r>
    </w:p>
    <w:p>
      <w:pPr>
        <w:pStyle w:val="TextBody"/>
        <w:bidi w:val="0"/>
        <w:spacing w:before="240" w:after="0"/>
        <w:jc w:val="left"/>
        <w:rPr>
          <w:rFonts w:ascii="Times New Roman" w:hAnsi="Times New Roman"/>
          <w:sz w:val="20"/>
        </w:rPr>
      </w:pPr>
      <w:r>
        <w:rPr>
          <w:rFonts w:ascii="Times New Roman" w:hAnsi="Times New Roman"/>
          <w:sz w:val="20"/>
        </w:rPr>
        <w:t xml:space="preserve">(kk) Neither the Company, any of its Subsidiaries, nor, to the knowledge of the Company, any of their respective directors, officers, agents, employees or affiliates, has taken or will take any action in furtherance of an offer, payment, promise to pay, or authorization or approval of the unlawful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each of its Subsidiaries and, to the Company’s knowledge, each of their respective affiliates have conducted their businesses in compliance with applicable anti-corruption laws. </w:t>
      </w:r>
    </w:p>
    <w:p>
      <w:pPr>
        <w:pStyle w:val="TextBody"/>
        <w:bidi w:val="0"/>
        <w:spacing w:before="240" w:after="0"/>
        <w:jc w:val="left"/>
        <w:rPr>
          <w:rFonts w:ascii="Times New Roman" w:hAnsi="Times New Roman"/>
          <w:sz w:val="20"/>
        </w:rPr>
      </w:pPr>
      <w:r>
        <w:rPr>
          <w:rFonts w:ascii="Times New Roman" w:hAnsi="Times New Roman"/>
          <w:sz w:val="20"/>
        </w:rPr>
        <w:t>(ll) None of the Company, any Subsidiary, affiliate, director, officer or employee thereof or, to the best of the Company’s knowledge, any agent, representative or other person acting on behalf of the Company or any of its Subsidiaries or affiliates, is aware of or has taken any action, directly or indirectly, that would result in a violation by such persons of any applicable anti-corruption laws, including the Foreign Corrupt Practices Act of 1977, as amended, and the rules and regulations thereunder (the “</w:t>
      </w:r>
      <w:r>
        <w:rPr>
          <w:rFonts w:ascii="Times New Roman" w:hAnsi="Times New Roman"/>
          <w:b/>
          <w:sz w:val="20"/>
          <w:u w:val="single"/>
        </w:rPr>
        <w:t>FCPA</w:t>
      </w:r>
      <w:r>
        <w:rPr>
          <w:rFonts w:ascii="Times New Roman" w:hAnsi="Times New Roman"/>
          <w:sz w:val="20"/>
        </w:rPr>
        <w:t xml:space="preserve">”),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otherwise took any action (or failed to fully disclose any action) in contravention of the FCPA; and the Company, its Subsidiaries and each of their respective affiliates have conducted their businesses in compliance with the FCPA and have instituted and maintain, and will continue to maintain, policies and procedures designed to ensure, and which are reasonably expected to continue to ensure, continued compliance therewith. </w:t>
      </w:r>
    </w:p>
    <w:p>
      <w:pPr>
        <w:pStyle w:val="TextBody"/>
        <w:bidi w:val="0"/>
        <w:spacing w:before="240" w:after="0"/>
        <w:jc w:val="left"/>
        <w:rPr>
          <w:rFonts w:ascii="Times New Roman" w:hAnsi="Times New Roman"/>
          <w:sz w:val="20"/>
        </w:rPr>
      </w:pPr>
      <w:r>
        <w:rPr>
          <w:rFonts w:ascii="Times New Roman" w:hAnsi="Times New Roman"/>
          <w:sz w:val="20"/>
        </w:rPr>
        <w:t>(mm) The operations of the Company and its Subsidiaries are and have been conducted at all times in compliance with applicable financial recordkeeping and reporting requirements and the anti-money laundering statutes and the rules and regulations thereunder and any related or similar rules, regulations or guidelines, issued, administered or enforced by any governmental agency (collectively, the “</w:t>
      </w:r>
      <w:r>
        <w:rPr>
          <w:rFonts w:ascii="Times New Roman" w:hAnsi="Times New Roman"/>
          <w:b/>
          <w:sz w:val="20"/>
          <w:u w:val="single"/>
        </w:rPr>
        <w:t>Money Laundering Laws</w:t>
      </w:r>
      <w:r>
        <w:rPr>
          <w:rFonts w:ascii="Times New Roman" w:hAnsi="Times New Roman"/>
          <w:sz w:val="20"/>
        </w:rPr>
        <w:t xml:space="preserve">”) and no action, suit, investigation or proceeding by or before any court or governmental agency, authority or body or any arbitrator involving the Company or any of its Subsidiaries with respect to the Money Laundering Laws is pending or, to the Company’s knowledge, threatened. </w:t>
      </w:r>
    </w:p>
    <w:p>
      <w:pPr>
        <w:pStyle w:val="TextBody"/>
        <w:bidi w:val="0"/>
        <w:spacing w:before="240" w:after="0"/>
        <w:jc w:val="left"/>
        <w:rPr>
          <w:rFonts w:ascii="Times New Roman" w:hAnsi="Times New Roman"/>
          <w:sz w:val="20"/>
        </w:rPr>
      </w:pPr>
      <w:r>
        <w:rPr>
          <w:rFonts w:ascii="Times New Roman" w:hAnsi="Times New Roman"/>
          <w:sz w:val="20"/>
        </w:rPr>
        <w:t>(nn) Neither the Company nor any of its Subsidiaries, nor any director or officer thereof, nor, to the Company’s knowledge, any employee, agent, affiliate or representative of the Company or any of its Subsidiaries, is currently or is owned or controlled by an individual or entity that is subject to any sanctions administered or enforced by the United States government (including, without limitation, the Office of Foreign Assets Control of the United States Department of the Treasury), the United Nations Security Council, the European Union, His Majesty’s Treasury or other relevant sanctions authority (collectively, “</w:t>
      </w:r>
      <w:r>
        <w:rPr>
          <w:rFonts w:ascii="Times New Roman" w:hAnsi="Times New Roman"/>
          <w:b/>
          <w:sz w:val="20"/>
          <w:u w:val="single"/>
        </w:rPr>
        <w:t>Sanctions</w:t>
      </w:r>
      <w:r>
        <w:rPr>
          <w:rFonts w:ascii="Times New Roman" w:hAnsi="Times New Roman"/>
          <w:sz w:val="20"/>
        </w:rPr>
        <w:t xml:space="preserve">”) or is located, organized or resident in a country or territory that is the subject or target of Sanctions; and the Company will not directly or indirectly use the proceeds of the sale of the Placement Shares, or lend, contribute or otherwise make available such proceeds to any Subsidiary, or any joint venture partner or other person or entity, for the purpose of financing or facilitating the activities of or business of any person or entity, or in any country or territory, that currently or at the time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financing or facilitation is the subject of any Sanctions or in any other manner that will result in a violation by any person or entity (including any person participating in the transactions contemplated by this Agreement) of any Sanctions. For the past five years, the Company and its Subsidiaries have not knowingly engaged in and are not now knowingly engaged in any dealings or transactions with any person or entity, or in any country or territory, that at the time of the dealing or transaction is or was the subject of Sanctions. </w:t>
      </w:r>
    </w:p>
    <w:p>
      <w:pPr>
        <w:pStyle w:val="TextBody"/>
        <w:bidi w:val="0"/>
        <w:spacing w:before="240" w:after="0"/>
        <w:jc w:val="left"/>
        <w:rPr>
          <w:rFonts w:ascii="Times New Roman" w:hAnsi="Times New Roman"/>
          <w:sz w:val="20"/>
        </w:rPr>
      </w:pPr>
      <w:r>
        <w:rPr>
          <w:rFonts w:ascii="Times New Roman" w:hAnsi="Times New Roman"/>
          <w:sz w:val="20"/>
        </w:rPr>
        <w:t>(oo) The Company and its Subsidiaries own or possess the right to use all inventions, patent applications, patents, trademarks, trade names, service names, domain names, copyrights, trade secrets, know-how and other intellectual property (collectively, “</w:t>
      </w:r>
      <w:r>
        <w:rPr>
          <w:rFonts w:ascii="Times New Roman" w:hAnsi="Times New Roman"/>
          <w:b/>
          <w:sz w:val="20"/>
          <w:u w:val="single"/>
        </w:rPr>
        <w:t>Intellectual Property</w:t>
      </w:r>
      <w:r>
        <w:rPr>
          <w:rFonts w:ascii="Times New Roman" w:hAnsi="Times New Roman"/>
          <w:sz w:val="20"/>
        </w:rPr>
        <w:t xml:space="preserve">”) as are (i) necessary or material for the conduct of their respective businesses as currently conducted or as currently proposed to be conducted and as described in the Registration Statement and the Prospectus and (ii) necessary or material for the commercialization of the products described in the Registration Statement and the Prospectus as being under development. There is no pending or, to the Company’s knowledge, threatened (I) action, suit, proceeding, or claim by others challenging the rights of the Company or any of its Subsidiaries in or to any such Intellectual Property that, if decided adversely to the Company or such Subsidiary would, individually or in the aggregate, have a Material Adverse Effect, and the Company is unaware of any facts which would form a reasonable basis for any such claim; (II) action, suit, proceeding, or claim by others that the Company or any of its Subsidiaries infringes, misappropriates, or otherwise violates any Intellectual Property of others that, if decided adversely to the Company or such Subsidiary would, individually or in the aggregate, have a Material Adverse Effect, and the Company is unaware of any facts which would form a reasonable basis for any such claim; or (III) action, suit, proceeding, or claim by others challenging the validity, scope, or enforceability of any such Intellectual Property owned or licensed by the Company or its Subsidiaries and the Company is unaware of any facts which would form a reasonable basis for any such claim. To the best of the Company’s knowledge, the operation of the business of the Company and its Subsidiaries as now conducted, and as described in the Prospectus, and in connection with the development and commercialization of the products described in the Prospectus does not infringe, misappropriate, conflict with or otherwise violate any claim of any patent or published patent application of any other person or entity. There is no prior art of which the Company or any of its Subsidiaries is aware that may render any patent owned or licensed by the Company or its Subsidiaries invalid or any patent application owned or licensed by the Company or its Subsidiaries unpatentable which has not been disclosed to the applicable government patent office. The Company’s granted or issued patents, registered trademarks and registered copyrights have been duly maintained and are in full force and effect, and none of the patents, trademarks and copyrights have been adjudged invalid or unenforceable in whole or in part. The Company knows of no infringement, misappropriation or violation by others of any Intellectual Property owned or licensed by the Company or its Subsidiaries which would reasonably be expected to have a Material Adverse Effect. Neither the Company nor any of its Subsidiaries is a party to or bound by any options, licenses or agreements with respect to the Intellectual Property of any other person or entity that are required to be set forth in the Prospectus and that are not described therein in all material respects. The Company and its Subsidiaries have taken all reasonable steps necessary to secure their interests in the Intellectual Property of the Company and its Subsidiaries from their employees and contractors and to protect the confidentiality of all of their confidential information and trade secrets. None of the technology or intellectual property used by the Company and its Subsidiaries in its business has been obtained or is being used by the Company or its Subsidiaries in violation of any contractual obligation binding on the Company or its Subsidiaries, or, to the Company’s knowledge, any of its officers, directors or employees or otherwise in violation of the rights of any persons. No third party has been granted by the Company or its Subsidiaries rights to the Intellectual Property of the Company or its Subsidiaries, including any rights that, if exercised, could enable such party to develop products competitive to those of the Company as described in the Registration Statement and the Prospectus. All Intellectual Property owned or exclusively licensed by the Company or its Subsidiaries are free and clear of all liens, encumbrances, defects or other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non-exclusive licenses granted in the ordinary course of business), except those that could not reasonably be expected, individually or in the aggregate, to have a Material Adverse Effect. The Company and its Subsidiaries are not subject to any judgment, order, writ, injunction or decree of any court or any federal, state, local, foreign or other governmental department, commission, board, bureau, agency or instrumentality, domestic or foreign, or any arbitrator, nor has it entered into or is it a party to any agreement made in settlement of any pending or threatened litigation, which materially restricts or impairs their use of any Intellectual Property. </w:t>
      </w:r>
    </w:p>
    <w:p>
      <w:pPr>
        <w:pStyle w:val="TextBody"/>
        <w:bidi w:val="0"/>
        <w:spacing w:before="240" w:after="0"/>
        <w:jc w:val="left"/>
        <w:rPr>
          <w:rFonts w:ascii="Times New Roman" w:hAnsi="Times New Roman"/>
          <w:sz w:val="20"/>
        </w:rPr>
      </w:pPr>
      <w:r>
        <w:rPr>
          <w:rFonts w:ascii="Times New Roman" w:hAnsi="Times New Roman"/>
          <w:sz w:val="20"/>
        </w:rPr>
        <w:t>(pp) The Company and each of its Subsidiaries (i) are and have at all times been in full compliance with all laws, statutes, rules, regulations or guidance applicable to the Company and its Subsidiaries and the ownership, testing, development, manufacture, packaging, processing, use, distribution, marketing, advertising, labeling, promotion, sale, offer for sale, storage, import, export or disposal of any pharmaceuticals or biohazardous substances, materials or any other products developed, manufactured or distributed by the Company (including, without limitation, from the United States Food and Drug Administration (“</w:t>
      </w:r>
      <w:r>
        <w:rPr>
          <w:rFonts w:ascii="Times New Roman" w:hAnsi="Times New Roman"/>
          <w:b/>
          <w:sz w:val="20"/>
          <w:u w:val="single"/>
        </w:rPr>
        <w:t>FDA</w:t>
      </w:r>
      <w:r>
        <w:rPr>
          <w:rFonts w:ascii="Times New Roman" w:hAnsi="Times New Roman"/>
          <w:sz w:val="20"/>
        </w:rPr>
        <w:t>”), European Medicines Agency (“</w:t>
      </w:r>
      <w:r>
        <w:rPr>
          <w:rFonts w:ascii="Times New Roman" w:hAnsi="Times New Roman"/>
          <w:b/>
          <w:sz w:val="20"/>
          <w:u w:val="single"/>
        </w:rPr>
        <w:t>EMA</w:t>
      </w:r>
      <w:r>
        <w:rPr>
          <w:rFonts w:ascii="Times New Roman" w:hAnsi="Times New Roman"/>
          <w:sz w:val="20"/>
        </w:rPr>
        <w:t>”) and any local or other governmental or regulatory authority performing functions similar to those performed by the FDA or EMA) (collectively, “</w:t>
      </w:r>
      <w:r>
        <w:rPr>
          <w:rFonts w:ascii="Times New Roman" w:hAnsi="Times New Roman"/>
          <w:b/>
          <w:sz w:val="20"/>
          <w:u w:val="single"/>
        </w:rPr>
        <w:t>Applicable Laws</w:t>
      </w:r>
      <w:r>
        <w:rPr>
          <w:rFonts w:ascii="Times New Roman" w:hAnsi="Times New Roman"/>
          <w:sz w:val="20"/>
        </w:rPr>
        <w:t>”), except as could not, individually or in the aggregate, reasonably be expected to result in a Material Adverse Effect, (ii) have not received any notice of adverse finding, warning letter, untitled letter or other correspondence or notice from the FDA or any other federal, state or foreign governmental authority having authority over the Company, any of its Subsidiaries or their activities alleging or asserting noncompliance with any Applicable Laws or any licenses, certificates, approvals, clearances, authorizations, permits and supplements or amendments thereto required by any such Applicable Laws (collectively, the “</w:t>
      </w:r>
      <w:r>
        <w:rPr>
          <w:rFonts w:ascii="Times New Roman" w:hAnsi="Times New Roman"/>
          <w:b/>
          <w:sz w:val="20"/>
          <w:u w:val="single"/>
        </w:rPr>
        <w:t>Governmental Permits</w:t>
      </w:r>
      <w:r>
        <w:rPr>
          <w:rFonts w:ascii="Times New Roman" w:hAnsi="Times New Roman"/>
          <w:sz w:val="20"/>
        </w:rPr>
        <w:t xml:space="preserve">”), (iii) have made all filings with, the appropriate local, or other governmental or regulatory agencies or bodies that are necessary for the ownership or lease of their respective properties or the conduct of their respective businesses as described in the Registration Statement and the Prospectus, except where any failures to possess or make the same would not, singularly or in the aggregate, have a Material Adverse Effect, (iv) possess all material Governmental Permits necessary to conduct their respective businesses as described in the Registration Statement and the Prospectus, and such Governmental Permits are valid and in full force and effect and are not in violation of any term of any such Governmental Permits, (v) have filed, obtained, maintained or submitted all material reports, documents, forms, notices, applications, records, claims, submissions and supplements or amendments as required by any Applicable Laws or Governmental Permits and that all such reports, documents, forms, notices, applications, records, claims, submissions and supplements or amendments were complete and correct in all material respects on the date filed (or were corrected or supplemented by a subsequent submission), and (vi) are not a party to any corporate integrity agreements, monitoring agreements, consent decrees, settlement orders or similar agreements with or imposed by any governmental authority. All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and the Company has no reason to believe that any such Governmental Permit will not be renewed. Neither the Company, any of its Subsidiaries nor, to the Company’s knowledge, any of their respective directors, officers, employees or agents has been convicted of any crime under any Applicable Laws or has been the subject of an FDA debarment proceeding. Neither the Company nor any of its Subsidiaries has been nor is now subject to the FDA’s Application Integrity Policy. To the Company’s knowledge, neither the Company, any of its Subsidiaries nor any of its directors, officers, employees or agents has made, or caused the making of, any false statements on, or material omissions from, any other records or documentation prepared or maintained to comply with the requirements of the FDA or any other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There is no legal or governmental proceeding to which the Company or any of its Subsidiaries is a party or of which any property or assets of the Company or any of its Subsidiaries is the subject, including any proceeding before the FDA, the EMA or any foreign, local, national or other governmental agency with jurisdiction over the types of products being developed by the Company that is required to be described in the Registration Statement or the Prospectus and is not described therein, or which, singularly or in the aggregate, if determined adversely to the Company or any of its Subsidiaries, could reasonably be expected to have a Material Adverse Effect; and no such proceedings are threatened or contemplated by governmental or regulatory authorities or threatened by others. The Company and its Subsidiaries (i) have not received notice of any claim, action, suit, proceeding, hearing, enforcement, investigation, arbitration or other action from any governmental authority or third party alleging that any product operation or activity is in violation of any Applicable Laws or Governmental Permits and have no knowledge that any such governmental authority or third party is considering any such claim, litigation, arbitration, action, suit, investigation or proceeding and (ii) have not received notice that any governmental authority has taken, is taking or intends to take action to limit, suspend, modify or revoke any Governmental Permits and the Company has no knowledge that any such governmental authority is considering such action. </w:t>
      </w:r>
    </w:p>
    <w:p>
      <w:pPr>
        <w:pStyle w:val="TextBody"/>
        <w:bidi w:val="0"/>
        <w:spacing w:before="240" w:after="0"/>
        <w:jc w:val="left"/>
        <w:rPr>
          <w:rFonts w:ascii="Times New Roman" w:hAnsi="Times New Roman"/>
          <w:sz w:val="20"/>
        </w:rPr>
      </w:pPr>
      <w:r>
        <w:rPr>
          <w:rFonts w:ascii="Times New Roman" w:hAnsi="Times New Roman"/>
          <w:sz w:val="20"/>
        </w:rPr>
        <w:t>(rr) The research, non-clinical pre-clinical studies and clinical trials, studies and tests conducted or being conducted by or on behalf of the Company or any of its Subsidiaries or in which any of their respective product candidates have participated and, to the Company’s knowledge, the preclinical studies and clinical trials directed or sponsored by the Company’s collaborators (collectively, the “</w:t>
      </w:r>
      <w:r>
        <w:rPr>
          <w:rFonts w:ascii="Times New Roman" w:hAnsi="Times New Roman"/>
          <w:b/>
          <w:sz w:val="20"/>
          <w:u w:val="single"/>
        </w:rPr>
        <w:t>Studies</w:t>
      </w:r>
      <w:r>
        <w:rPr>
          <w:rFonts w:ascii="Times New Roman" w:hAnsi="Times New Roman"/>
          <w:sz w:val="20"/>
        </w:rPr>
        <w:t xml:space="preserve">”) that are described in, or the results of which are referred to in, the Registration Statement and the Prospectus were and, if still pending, are being conducted with reasonable care and in all material respects in accordance with the protocols, procedures and controls pursuant to all Applicable Laws and Governmental Permits and with standard medical and scientific research procedures; each description of the results of such Studies is accurate and complete in all material respects and fairly presents the data derived from such Studies, and the Company and its Subsidiaries have no knowledge of any other research, non-clinical studies or tests the results of which are inconsistent with, or otherwise call into question, the results described or referred to in the Registration Statement and the Prospectus; the Company and its Subsidiaries have made all such filings and obtained all such approvals as may be required by the EMA, the FDA or any committee thereof or from any other United States or foreign government agency with jurisdiction over the types of products being developed by the Company; neither the Company nor any of its Subsidiaries has received any notice of, or correspondence from, any governmental authority requiring the termination, suspension or modification of any Study; and the Company and its Subsidiaries have each operated and currently are in compliance in all material respects with all applicable rules, regulations and policies of all governmental authorities. There have been no material serious adverse events resulting from any Study. To the Company’s knowledge, the manufacturing facilities and operations of its suppliers are operated in compliance in all material respects with all Applicable Laws and Governmental Permits. </w:t>
      </w:r>
    </w:p>
    <w:p>
      <w:pPr>
        <w:pStyle w:val="TextBody"/>
        <w:bidi w:val="0"/>
        <w:spacing w:before="240" w:after="0"/>
        <w:jc w:val="left"/>
        <w:rPr>
          <w:rFonts w:ascii="Times New Roman" w:hAnsi="Times New Roman"/>
          <w:sz w:val="20"/>
        </w:rPr>
      </w:pPr>
      <w:r>
        <w:rPr>
          <w:rFonts w:ascii="Times New Roman" w:hAnsi="Times New Roman"/>
          <w:sz w:val="20"/>
        </w:rPr>
        <w:t xml:space="preserve">(ss) The Company acknowledges and agrees that the Agents have informed the Company that the Agents may, to the extent permitted under the Securities Act and the Exchange Act, purchase and sell shares of Common Stock for its own account while this Agreement is in effect; </w:t>
      </w:r>
      <w:r>
        <w:rPr>
          <w:rFonts w:ascii="Times New Roman" w:hAnsi="Times New Roman"/>
          <w:i/>
          <w:sz w:val="20"/>
        </w:rPr>
        <w:t>provided</w:t>
      </w:r>
      <w:r>
        <w:rPr>
          <w:rFonts w:ascii="Times New Roman" w:hAnsi="Times New Roman"/>
          <w:sz w:val="20"/>
        </w:rPr>
        <w:t xml:space="preserve">, that (i) no such purchase or sales shall take place while a Placement Notice is in effect (except to the extent such Agent may engage in sales of Placement Shares purchased or deemed purchased from the Company as a “riskless principal” or in a similar capacity) and (ii) the Company shall not be deemed to have authorized or consented to any such purchases or sales by an Agent, except as may be otherwise agreed by the Company and such Agent. </w:t>
      </w:r>
    </w:p>
    <w:p>
      <w:pPr>
        <w:pStyle w:val="TextBody"/>
        <w:bidi w:val="0"/>
        <w:spacing w:before="240" w:after="0"/>
        <w:jc w:val="left"/>
        <w:rPr>
          <w:rFonts w:ascii="Times New Roman" w:hAnsi="Times New Roman"/>
          <w:sz w:val="20"/>
        </w:rPr>
      </w:pPr>
      <w:r>
        <w:rPr>
          <w:rFonts w:ascii="Times New Roman" w:hAnsi="Times New Roman"/>
          <w:sz w:val="20"/>
        </w:rPr>
        <w:t xml:space="preserve">(tt) The Company is not a party to any agreement with an agent or underwriter for any other “at the market” or continuous equity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(uu) 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shareholders of the Company, on the other hand, which is required by the rules of FINRA to be described in the Registration Statement and the Prospectus, which is not so described. All of the information (including, but not limited to, information regarding affiliations, security ownership and trading activity) provided to the Agents or their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(vv) As of the close of trading on Nasdaq on August 31, 2026,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was greater than $75 million. The Company is not a shell company (as defined in Rule 405) and has not been a shell company for at least 12 calendar months previously. </w:t>
      </w:r>
    </w:p>
    <w:p>
      <w:pPr>
        <w:pStyle w:val="TextBody"/>
        <w:bidi w:val="0"/>
        <w:spacing w:before="240" w:after="0"/>
        <w:jc w:val="left"/>
        <w:rPr>
          <w:rFonts w:ascii="Times New Roman" w:hAnsi="Times New Roman"/>
          <w:sz w:val="20"/>
        </w:rPr>
      </w:pPr>
      <w:r>
        <w:rPr>
          <w:rFonts w:ascii="Times New Roman" w:hAnsi="Times New Roman"/>
          <w:sz w:val="20"/>
        </w:rPr>
        <w:t xml:space="preserve">(ww)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0"/>
        </w:rPr>
      </w:pPr>
      <w:r>
        <w:rPr>
          <w:rFonts w:ascii="Times New Roman" w:hAnsi="Times New Roman"/>
          <w:sz w:val="20"/>
        </w:rPr>
        <w:t xml:space="preserve">(xx) Each of the independent directors (or independent director nominees, once appointed, if applicable) named in the Registration Statement and Prospectus satisfies the independence standards established by Nasdaq and, with respect to members of the Company’s audit committee, the enhanced independence standards contained in Rule 10A-3(b)(1) promulgated by the Commission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(yy) Neither the Company nor, to the Company’s knowledge, any of its affiliates (within the meaning of Rule 144 under the Securities Act) has, prior to the date hereof, made any offer or sale of any securities which could be “integrated” (within the meaning of the Securities Act) with the offer and sale of the Placement Shares hereunder. </w:t>
      </w:r>
    </w:p>
    <w:p>
      <w:pPr>
        <w:pStyle w:val="TextBody"/>
        <w:bidi w:val="0"/>
        <w:spacing w:before="240" w:after="0"/>
        <w:jc w:val="left"/>
        <w:rPr>
          <w:rFonts w:ascii="Times New Roman" w:hAnsi="Times New Roman"/>
          <w:sz w:val="20"/>
        </w:rPr>
      </w:pPr>
      <w:r>
        <w:rPr>
          <w:rFonts w:ascii="Times New Roman" w:hAnsi="Times New Roman"/>
          <w:sz w:val="20"/>
        </w:rPr>
        <w:t xml:space="preserve">(zz) Neither the Company nor any of its Subsidiaries has (i) failed to pay any dividend or sinking fund installment on preferred stock or (ii) defaulted on any installment or payment due on indebtedness for borrowed money or on any rental on one or more long-term leases, which defaults, individually or in the aggregate,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(aaa)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(bbb) 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(ccc) The Company is not in or subject to a bankruptcy or insolvency proceeding in any jurisdiction. </w:t>
      </w:r>
    </w:p>
    <w:p>
      <w:pPr>
        <w:pStyle w:val="TextBody"/>
        <w:bidi w:val="0"/>
        <w:spacing w:before="240" w:after="0"/>
        <w:jc w:val="left"/>
        <w:rPr>
          <w:rFonts w:ascii="Times New Roman" w:hAnsi="Times New Roman"/>
          <w:sz w:val="20"/>
        </w:rPr>
      </w:pPr>
      <w:r>
        <w:rPr>
          <w:rFonts w:ascii="Times New Roman" w:hAnsi="Times New Roman"/>
          <w:sz w:val="20"/>
        </w:rPr>
        <w:t>(ddd) The Company has duly and properly filed or caused to be filed with the U.S. Patent and Trademark Office (the “</w:t>
      </w:r>
      <w:r>
        <w:rPr>
          <w:rFonts w:ascii="Times New Roman" w:hAnsi="Times New Roman"/>
          <w:b/>
          <w:sz w:val="20"/>
          <w:u w:val="single"/>
        </w:rPr>
        <w:t>PTO</w:t>
      </w:r>
      <w:r>
        <w:rPr>
          <w:rFonts w:ascii="Times New Roman" w:hAnsi="Times New Roman"/>
          <w:sz w:val="20"/>
        </w:rPr>
        <w:t>”) and applicable foreign and international patent and trademark authorities all patents, trademarks, copyrights and applications relating to the same owned by the Company and its Subsidiaries (the “</w:t>
      </w:r>
      <w:r>
        <w:rPr>
          <w:rFonts w:ascii="Times New Roman" w:hAnsi="Times New Roman"/>
          <w:b/>
          <w:sz w:val="20"/>
          <w:u w:val="single"/>
        </w:rPr>
        <w:t>Company Patent and Trademark Applications</w:t>
      </w:r>
      <w:r>
        <w:rPr>
          <w:rFonts w:ascii="Times New Roman" w:hAnsi="Times New Roman"/>
          <w:sz w:val="20"/>
        </w:rPr>
        <w:t>”). To the knowledge of the Company, the Company has complied with the PTO’s duty of candor and disclosure for the Company Patent and Trademark Applications and has made no material misrepresentation in the Company Patent and Trademark Applications. To the Company’s knowledge, the Company Patent and Trademark Applications disclose patentable subject matter. The Company has not been notified of any inventorship challenges nor has any interference been declared or provoked nor is any material fact known by the Company that would preclude the issuance of patents with respect to the Company Patent and Trademark Applications or would render such patents, if issued, invalid or unenforceable. Except as would not have a Material Adverse Effect, neither the Company nor any of its Subsidiaries has breached and is currently in breach of any provision of any license, contract or other agreement governing the use by the Company or its Subsidiaries of Intellectual Property owned by third parties (collectively, the “</w:t>
      </w:r>
      <w:r>
        <w:rPr>
          <w:rFonts w:ascii="Times New Roman" w:hAnsi="Times New Roman"/>
          <w:b/>
          <w:sz w:val="20"/>
          <w:u w:val="single"/>
        </w:rPr>
        <w:t>Licenses</w:t>
      </w:r>
      <w:r>
        <w:rPr>
          <w:rFonts w:ascii="Times New Roman" w:hAnsi="Times New Roman"/>
          <w:sz w:val="20"/>
        </w:rPr>
        <w:t xml:space="preserve">”) and no third party has alleged any such breach and the Company is unaware of any facts that would form a reasonable basis for such a claim. To the Company’s knowledge, no other party to the Licenses has breached or is currently in breach of any provision of the Licenses. Each of the Licenses is in full force and effect and constitutes a valid and binding agreement between the parties thereto, enforceable in accordance with its terms, and there has not occurred any breach or default under any such Licenses or any event that, with the giving of notice or lapse of time, would constitute a breach or default thereunder. Except as would not have a Material Adverse Effect, neither the Company nor any of its Subsidiaries has been and is currently involved in any disputes regarding the Licenses. To the Company’s knowledge, all patents licensed to the Company pursuant to the Licenses are valid, enforceable and being duly maintained. To the Company’s knowledge, all patent applications licensed to the Company pursuant to the Licenses are being duly prosecuted.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officer of the Company and delivered to the Agents or their counsel in connection with the offering of the Placement Shares shall be deemed a representation and warranty by the Company, as to matters covered thereby, to the Agents.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 of the Company</w:t>
      </w:r>
      <w:r>
        <w:rPr>
          <w:rFonts w:ascii="Times New Roman" w:hAnsi="Times New Roman"/>
          <w:sz w:val="20"/>
        </w:rPr>
        <w:t xml:space="preserve">. The Company covenants and agrees with the Agents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Amendments</w:t>
      </w:r>
      <w:r>
        <w:rPr>
          <w:rFonts w:ascii="Times New Roman" w:hAnsi="Times New Roman"/>
          <w:sz w:val="20"/>
        </w:rPr>
        <w:t xml:space="preserve">. After the date of this Agreement and during any period in which the Prospectus relating to any Placement Shares is required to be delivered by the Agents under the Securities Act (including in circumstances where such requirement may be satisfied pursuant to Rule 172 under the Securities Act or a similar rule); (i) the Company will notify the Agents promptly of the time when any subsequent amendment to the Registration Statement, other than Incorporated Documents, has been filed with the Commission and/or has become effective or any subsequent supplement to the Prospectus, other than Incorporated Documents, has been filed and of any request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Commission for any amendment or supplement to the Registration Statement or Prospectus or for additional information relating to the Placement Shares; (ii) the Company will prepare and file with the Commission, promptly upon an Agent’s request, any amendments or supplements to the Registration Statement or Prospectus that, in such Agent’s reasonable opinion, may be necessary or advisable in connection with the distribution of the Placement Shares by the Agents (provided, however, that the failure of the Agents to make such request shall not relieve the Company of any obligation or liability hereunder, or affect the Agents’ right to rely on the representations and warranties made by the Company in this Agreement and provided, further, that the only remedy the Agents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Prospectus, other than Incorporated Documents, relating to the Placement Shares or a security convertible into or exchangeable or exercisable for the Placement Shares unless a copy thereof has been submitted to the Agents within a reasonable period of time before the filing and the Agents have not reasonably objected thereto (provided, however, that the failure of the Agents to make such objection shall not relieve the Company of any obligation or liability hereunder, or affect the Agents’ right to rely on the representations and warranties made by the Company in this Agreement and provided, further, that the only remedy the Agents shall have with respect to the Company’s making such filing notwithstanding the Agents’ objection (but without limiting the Agents’ rights under Section 9 hereof) will be to cease making sales under this Agreement) and the Company will furnish to the Agents at the time of filing thereof a copy of any Incorporated Document, except for those documents available via EDGAR; and (iv) the Company will cause each amendment or supplement to the Prospectus, other than Incorporated Documents, to be filed with the Commission as required pursuant to the applicable paragraph of Rule 424(b) of the Securities Act and, in the case of any Incorporated Document, to be filed with the Commission as required pursuant to the Exchange Act, within the time period prescribed.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Commission Stop Orders</w:t>
      </w:r>
      <w:r>
        <w:rPr>
          <w:rFonts w:ascii="Times New Roman" w:hAnsi="Times New Roman"/>
          <w:sz w:val="20"/>
        </w:rPr>
        <w:t xml:space="preserve">.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for additional information related to the offering of the Placement Shares or for additional information related to the Registration Statement or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Delivery of Prospectus; Subsequent Changes</w:t>
      </w:r>
      <w:r>
        <w:rPr>
          <w:rFonts w:ascii="Times New Roman" w:hAnsi="Times New Roman"/>
          <w:sz w:val="20"/>
        </w:rPr>
        <w:t xml:space="preserve">. During any period in which the Prospectus relating to the Placement Shares is required to be delivered by the Agents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supplement the Registration Statement or Prospectus (at the expense of the Company) so as to correct such statement or omission or effect such compliance. If the Company has omitted any information from the Registration Statement pursuant to Rule 430B under the Securities Act, it will use its reasonable best efforts to comply with the provisions thereof and make all requisite filings with the Commission pursuant to said Rule 430B and to notify the Agents promptly of all such filings if not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Listing of Placement Shares</w:t>
      </w:r>
      <w:r>
        <w:rPr>
          <w:rFonts w:ascii="Times New Roman" w:hAnsi="Times New Roman"/>
          <w:sz w:val="20"/>
        </w:rPr>
        <w:t xml:space="preserve">. During any period in which the Prospectus relating to the Placement Shares is required to be delivered by the Agents under the Securities Act with respect to the offer and sale of the Placement Shares (including in circumstances where such requirement may be satisfied pursuant to Rule 172 under the Securities Act or a similar rule), the Company will use its commercially reasonable efforts to cause the Placement Shares to be listed on Nasdaq. The Company will timely file with Nasdaq all material documents and notices required by Nasdaq of companies that have or will issue securities that are traded on Nasdaq.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Delivery of Registration Statement and Prospectus</w:t>
      </w:r>
      <w:r>
        <w:rPr>
          <w:rFonts w:ascii="Times New Roman" w:hAnsi="Times New Roman"/>
          <w:sz w:val="20"/>
        </w:rPr>
        <w:t xml:space="preserve">. The Company will furnish to the Agents and their counsel (at the expense of the Company) copies of the Registration Statement, the Prospectus (including all Incorporated Documents) and all amendments and supplements to the Registration Statement or Prospectus that are filed with the Commission during any period in which the Prospectus relating to the Placement Shares is required to be delivered under the Securities Act (including all Incorporated Documents filed with the Commission during such period),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furnish any document (other than the Prospectus) to the Agents to the extent such document is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Earnings Statement</w:t>
      </w:r>
      <w:r>
        <w:rPr>
          <w:rFonts w:ascii="Times New Roman" w:hAnsi="Times New Roman"/>
          <w:sz w:val="20"/>
        </w:rPr>
        <w:t xml:space="preserve">. The Company will make generally available to its security holders and to the Agents as soon as practicable, but in any event not later than 15 months after the end of the Company’s current fiscal quarter, an earnings statement covering a 12-month period that satisfies the provisions of Section 11(a) of and Rule 158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Expenses</w:t>
      </w:r>
      <w:r>
        <w:rPr>
          <w:rFonts w:ascii="Times New Roman" w:hAnsi="Times New Roman"/>
          <w:sz w:val="20"/>
        </w:rPr>
        <w:t xml:space="preserve">.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 Section 7(w) of this Agreement, including filing fees (provided, however, that any fees or disbursements of counsel for the Agents in connection therewith shall be paid by the Agents except as set forth in clauses (vii) and (viii) below), (iv) the printing and delivery to the Agents and their counsel of copies of the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Placement Shares, (vii) the fees and associated expenses of the Agents’ outside legal counsel in connection with determining the compliance of the transactions contemplated hereby with the rules and regulations of FINRA, including any filings with the FINRA Corporate Financing Department in an amount not to exceed $15,000 (excluding FINRA filing fees referred to in clause (vi) above and in addition to the fees and disbursements referred to in clause (viii) below), and (viii)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fees and disbursements of the Agents’ outside legal counsel (A) in an amount not to exceed $75,000 arising out of executing this Agreement and the Company’s delivery of the initial certificate pursuant to Section 7(m) and (B) in an amount not to exceed $25,000 in connection with each Representation Date (as defined below) on which the Company is required to provide a certificate pursuant to Section 7(m) (in addition to the fees and associated expenses referred to in clause (vii) above).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Other Sales</w:t>
      </w:r>
      <w:r>
        <w:rPr>
          <w:rFonts w:ascii="Times New Roman" w:hAnsi="Times New Roman"/>
          <w:sz w:val="20"/>
        </w:rPr>
        <w:t xml:space="preserve">. Without the prior written consent of the Agents,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fifth Trading Day immediately prior to the date on which any Placement Notice is delivered to the Designated Agent hereunder and ending on the second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sixtieth day immediately following the final Settlement Date with respect to Placement Shares sold pursuant to such Placement Notice;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or the exercise of warrants, options or other rights in effect or outstanding, and disclosed in filings by the Company available on EDGAR or otherwise in writing to the Agents and (iii) shares of Common Stock or securities convertible into or exchangeable for shares of Common Stock as consideration for mergers, acquisitions, other business combinations or strategic alliances occurring after the date of this Agreement which are not issued for capital raising purposes.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Change of Circumstances</w:t>
      </w:r>
      <w:r>
        <w:rPr>
          <w:rFonts w:ascii="Times New Roman" w:hAnsi="Times New Roman"/>
          <w:sz w:val="20"/>
        </w:rPr>
        <w:t xml:space="preserve">. The Company will, at any time during a fiscal quarter in which the Company intends to tender a Placement Notice or sell Placement Shares, advise the Agents promptly after it shall have received notice or obtained knowledge of any information or fact that would alter or affect in any material respect any opinion, certificate, letter or other document provided or required to be provided to the Agents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Due Diligence Cooperation</w:t>
      </w:r>
      <w:r>
        <w:rPr>
          <w:rFonts w:ascii="Times New Roman" w:hAnsi="Times New Roman"/>
          <w:sz w:val="20"/>
        </w:rPr>
        <w:t xml:space="preserve">. During the term of this Agreement, the Company will cooperate with any reasonable due diligence review conducted by the Agents, their respective affiliates, agents and counsel from time to time in connection with the transactions contemplated hereby, including providing information and making available documents and senior corporate officers, during regular business hours and at the Company’s principal offices, as the Agents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Required Filings Relating to Placement of Placement Shares</w:t>
      </w:r>
      <w:r>
        <w:rPr>
          <w:rFonts w:ascii="Times New Roman" w:hAnsi="Times New Roman"/>
          <w:sz w:val="20"/>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hAnsi="Times New Roman"/>
          <w:i/>
          <w:sz w:val="20"/>
        </w:rPr>
        <w:t>provided</w:t>
      </w:r>
      <w:r>
        <w:rPr>
          <w:rFonts w:ascii="Times New Roman" w:hAnsi="Times New Roman"/>
          <w:sz w:val="20"/>
        </w:rPr>
        <w:t xml:space="preserve">, that, unless a prospectus supplement containing such information is required to be filed under the Securities Act, the requirement of this Section 7(l) may be satisfied by the Company’s inclusion in the Company’s Form 10-K or Form 10-Q, as applicable, of the number or amount of Placement Shares sold through the Agents, the Net Proceeds to the Company and the compensation payable by the Company to the Agents with respect to such Placement Shares during the relevant period.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Representation Dates; Certificate</w:t>
      </w:r>
      <w:r>
        <w:rPr>
          <w:rFonts w:ascii="Times New Roman" w:hAnsi="Times New Roman"/>
          <w:sz w:val="20"/>
        </w:rPr>
        <w:t>. On or prior to the date on which the Company first delivers a Placement Notice pursuant to this Agreement (the “</w:t>
      </w:r>
      <w:r>
        <w:rPr>
          <w:rFonts w:ascii="Times New Roman" w:hAnsi="Times New Roman"/>
          <w:b/>
          <w:sz w:val="20"/>
          <w:u w:val="single"/>
        </w:rPr>
        <w:t>First Placement Notice Date</w:t>
      </w:r>
      <w:r>
        <w:rPr>
          <w:rFonts w:ascii="Times New Roman" w:hAnsi="Times New Roman"/>
          <w:sz w:val="20"/>
        </w:rPr>
        <w:t xml:space="preserve">”) and each time the Company: </w:t>
      </w:r>
    </w:p>
    <w:p>
      <w:pPr>
        <w:pStyle w:val="TextBody"/>
        <w:bidi w:val="0"/>
        <w:spacing w:before="240" w:after="0"/>
        <w:jc w:val="left"/>
        <w:rPr>
          <w:rFonts w:ascii="Times New Roman" w:hAnsi="Times New Roman"/>
          <w:sz w:val="20"/>
        </w:rPr>
      </w:pPr>
      <w:r>
        <w:rPr>
          <w:rFonts w:ascii="Times New Roman" w:hAnsi="Times New Roman"/>
          <w:sz w:val="20"/>
        </w:rPr>
        <w:t xml:space="preserve">(i) 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Prospectus relating to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(ii) files an Annual Report on Form 10-K under the Exchange Act (including any Form 10-K/A containing amended financial information or a material amendment to the previously filed Form 10-K); </w:t>
      </w:r>
    </w:p>
    <w:p>
      <w:pPr>
        <w:pStyle w:val="TextBody"/>
        <w:bidi w:val="0"/>
        <w:spacing w:before="240" w:after="0"/>
        <w:jc w:val="left"/>
        <w:rPr>
          <w:rFonts w:ascii="Times New Roman" w:hAnsi="Times New Roman"/>
          <w:sz w:val="20"/>
        </w:rPr>
      </w:pPr>
      <w:r>
        <w:rPr>
          <w:rFonts w:ascii="Times New Roman" w:hAnsi="Times New Roman"/>
          <w:sz w:val="20"/>
        </w:rPr>
        <w:t xml:space="preserve">(iii) files a Quarterly Report on Form 10-Q under the Exchange Act; or </w:t>
      </w:r>
    </w:p>
    <w:p>
      <w:pPr>
        <w:pStyle w:val="TextBody"/>
        <w:bidi w:val="0"/>
        <w:spacing w:before="240" w:after="0"/>
        <w:jc w:val="left"/>
        <w:rPr>
          <w:rFonts w:ascii="Times New Roman" w:hAnsi="Times New Roman"/>
          <w:sz w:val="20"/>
        </w:rPr>
      </w:pPr>
      <w:r>
        <w:rPr>
          <w:rFonts w:ascii="Times New Roman" w:hAnsi="Times New Roman"/>
          <w:sz w:val="20"/>
        </w:rPr>
        <w:t>(iv) files a Current Report on Form 8-K containing amended financial information (other than an earnings release that is “furnished” pursuant to Item 2.02 or Item 7.01 of Form 8-K) under the Exchange Act (each date of filing of one or more of the documents referred to in clauses (i) through (iv) shall be a “</w:t>
      </w:r>
      <w:r>
        <w:rPr>
          <w:rFonts w:ascii="Times New Roman" w:hAnsi="Times New Roman"/>
          <w:b/>
          <w:sz w:val="20"/>
          <w:u w:val="single"/>
        </w:rPr>
        <w:t>Representation Date</w:t>
      </w:r>
      <w:r>
        <w:rPr>
          <w:rFonts w:ascii="Times New Roman" w:hAnsi="Times New Roman"/>
          <w:sz w:val="20"/>
        </w:rPr>
        <w:t xml:space="preserve">”), the Company shall furnish the Agents (but in the case of clause (iv) above only if (1) a Placement Notice is pending or in effect and (2) the Agents request such certificate within three Business Days after the filing of such Form 8-K with the Commission) with a certificate, in the form attached hereto as </w:t>
      </w:r>
      <w:r>
        <w:rPr>
          <w:rFonts w:ascii="Times New Roman" w:hAnsi="Times New Roman"/>
          <w:b/>
          <w:sz w:val="20"/>
          <w:u w:val="single"/>
        </w:rPr>
        <w:t>Exhibit 7(m)</w:t>
      </w:r>
      <w:r>
        <w:rPr>
          <w:rFonts w:ascii="Times New Roman" w:hAnsi="Times New Roman"/>
          <w:sz w:val="20"/>
        </w:rPr>
        <w:t xml:space="preserve"> (modified, as necessary, to relate to the Registration Statement and the Prospectus as then amended or supplemented), within two Trading Days of 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Agents with a certificate under this Section 7(m), then before the Company delivers a Placement Notice or the Designated Agent sells any Placement Shares pursuant thereto, the Company shall provide the Agents with a certificate, in the form attached hereto as </w:t>
      </w:r>
      <w:r>
        <w:rPr>
          <w:rFonts w:ascii="Times New Roman" w:hAnsi="Times New Roman"/>
          <w:b/>
          <w:sz w:val="20"/>
          <w:u w:val="single"/>
        </w:rPr>
        <w:t>Exhibit</w:t>
      </w:r>
      <w:r>
        <w:rPr>
          <w:rFonts w:ascii="Times New Roman" w:hAnsi="Times New Roman"/>
          <w:sz w:val="20"/>
          <w:u w:val="single"/>
        </w:rPr>
        <w:t> </w:t>
      </w:r>
      <w:r>
        <w:rPr>
          <w:rFonts w:ascii="Times New Roman" w:hAnsi="Times New Roman"/>
          <w:b/>
          <w:sz w:val="20"/>
          <w:u w:val="single"/>
        </w:rPr>
        <w:t>7(m)</w:t>
      </w:r>
      <w:r>
        <w:rPr>
          <w:rFonts w:ascii="Times New Roman" w:hAnsi="Times New Roman"/>
          <w:sz w:val="20"/>
        </w:rPr>
        <w:t xml:space="preserve">, dated the date of such Placement Notice. Within two Trading Days of each Representation Date, the Company shall have furnished to the Agents such further information, certificates and documents as the Agents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Legal Opinions</w:t>
      </w:r>
      <w:r>
        <w:rPr>
          <w:rFonts w:ascii="Times New Roman" w:hAnsi="Times New Roman"/>
          <w:sz w:val="20"/>
        </w:rPr>
        <w:t>. On or prior to the First Placement Notice Date and on any date which the Company is obligated to deliver a certificate pursuant to Section 7(m) for which no waiver is applicable, the Company shall cause to be furnished to the Agents the written opinion and negative assurance letter of Goodwin Procter LLP, counsel to the Company, or such other counsel satisfactory to the Agents (“</w:t>
      </w:r>
      <w:r>
        <w:rPr>
          <w:rFonts w:ascii="Times New Roman" w:hAnsi="Times New Roman"/>
          <w:b/>
          <w:sz w:val="20"/>
          <w:u w:val="single"/>
        </w:rPr>
        <w:t>Company Counsel</w:t>
      </w:r>
      <w:r>
        <w:rPr>
          <w:rFonts w:ascii="Times New Roman" w:hAnsi="Times New Roman"/>
          <w:sz w:val="20"/>
        </w:rPr>
        <w:t xml:space="preserve">”), in form and substance satisfactory to the Agents and their counsel, dated the date that the opinion and negative assurance letter are required to be delivered, modified, as necessary, to relate to the Registration Statement and the Prospectus as then amended or supplemented;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lieu of such opinion and negative assurance letter for subsequent Representation Dates, Company Counsel may furnish the Agents with a letter to the effect that the Agents may rely on a prior opinion or negative assurance letter delivered by such counsel under this Section 7(n) to the same extent as if it were dated the date of such letter (except that statements in such prior opinion or negative assurance letter shall be deemed to relate to the Registration Statement and the Prospectus as amended or supplemented at such Representation Date).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Intellectual Property Opinions</w:t>
      </w:r>
      <w:r>
        <w:rPr>
          <w:rFonts w:ascii="Times New Roman" w:hAnsi="Times New Roman"/>
          <w:sz w:val="20"/>
        </w:rPr>
        <w:t>. On or prior to the First Placement Notice Date and on any date which the Company is obligated to deliver a certificate pursuant to Section 7(m) for which no waiver is applicable, the Company shall cause to be furnished to the Agents the written opinions of Choate Hall &amp; Stewart LLP and Mintz, Levin, Cohn, Ferris, Glovsky and Popeo, P.C., counsel for the Company with respect to intellectual property matters, or such other intellectual property counsel satisfactory to the Agents (“</w:t>
      </w:r>
      <w:r>
        <w:rPr>
          <w:rFonts w:ascii="Times New Roman" w:hAnsi="Times New Roman"/>
          <w:b/>
          <w:sz w:val="20"/>
          <w:u w:val="single"/>
        </w:rPr>
        <w:t>Intellectual Property Counsel</w:t>
      </w:r>
      <w:r>
        <w:rPr>
          <w:rFonts w:ascii="Times New Roman" w:hAnsi="Times New Roman"/>
          <w:sz w:val="20"/>
        </w:rPr>
        <w:t xml:space="preserve">”), in form and substance satisfactory to the Agents and their counsel, each dated the date that the opinion letters are required to be delivered, modified, as necessary, to relate to the Registration Statement and the Prospectus as then amended or supplemented;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lieu of such written opinion for subsequent Representation Dates, Intellectual Property Counsel may furnish the Agents with a letter to the effect that the Agents may rely on a prior opinion letter delivered by such counsel under this Section 7(o) to the same extent as if it were dated the date of such opinion letter (except that statements in such prior opinion letter shall be deemed to relate to the Registration Statement and the Prospectus as amended or supplemented at such Representation Date).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Comfort Letter</w:t>
      </w:r>
      <w:r>
        <w:rPr>
          <w:rFonts w:ascii="Times New Roman" w:hAnsi="Times New Roman"/>
          <w:sz w:val="20"/>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Prospectus) to furnish the Agents letters (the “</w:t>
      </w:r>
      <w:r>
        <w:rPr>
          <w:rFonts w:ascii="Times New Roman" w:hAnsi="Times New Roman"/>
          <w:b/>
          <w:sz w:val="20"/>
          <w:u w:val="single"/>
        </w:rPr>
        <w:t>Comfort Letters</w:t>
      </w:r>
      <w:r>
        <w:rPr>
          <w:rFonts w:ascii="Times New Roman" w:hAnsi="Times New Roman"/>
          <w:sz w:val="20"/>
        </w:rPr>
        <w:t xml:space="preserve">”), dated the date the Comfort Letter is delivered, which shall meet the requirements set forth in this Section 7(p); </w:t>
      </w:r>
      <w:r>
        <w:rPr>
          <w:rFonts w:ascii="Times New Roman" w:hAnsi="Times New Roman"/>
          <w:i/>
          <w:sz w:val="20"/>
        </w:rPr>
        <w:t>provided</w:t>
      </w:r>
      <w:r>
        <w:rPr>
          <w:rFonts w:ascii="Times New Roman" w:hAnsi="Times New Roman"/>
          <w:sz w:val="20"/>
        </w:rPr>
        <w:t>, that if requested by the Agents, the Company shall cause a Comfort Letter to be furnished to the Agents within 10 Trading Days of the occurrence of any material transaction or event that necessitates the filing of additional, pro forma, amended or revised financial statements (including any restatement of previously issued financial statements). Each Comfort Letter shall be in form and substance satisfactory to the Agents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hAnsi="Times New Roman"/>
          <w:b/>
          <w:sz w:val="20"/>
          <w:u w:val="single"/>
        </w:rPr>
        <w:t>Initial Comfort Letter</w:t>
      </w:r>
      <w:r>
        <w:rPr>
          <w:rFonts w:ascii="Times New Roman" w:hAnsi="Times New Roman"/>
          <w:sz w:val="20"/>
        </w:rPr>
        <w:t xml:space="preserve">”) and (iii) update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Market Activities</w:t>
      </w:r>
      <w:r>
        <w:rPr>
          <w:rFonts w:ascii="Times New Roman" w:hAnsi="Times New Roman"/>
          <w:sz w:val="20"/>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bid for and purchase shares of Common Stock in accordance with Rule 10b-18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Insurance</w:t>
      </w:r>
      <w:r>
        <w:rPr>
          <w:rFonts w:ascii="Times New Roman" w:hAnsi="Times New Roman"/>
          <w:sz w:val="20"/>
        </w:rPr>
        <w:t xml:space="preserve">. The Company and its Subsidiaries shall maintain, or cause to be maintained, insurance in such amounts and covering such risks as is reasonable and customary for the business for which it is engaged.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Compliance with Laws</w:t>
      </w:r>
      <w:r>
        <w:rPr>
          <w:rFonts w:ascii="Times New Roman" w:hAnsi="Times New Roman"/>
          <w:sz w:val="20"/>
        </w:rPr>
        <w:t xml:space="preserve">. The Company and each of its Subsidiaries shall maintain, or cause to be maintained, all material Permits, and the Company and each of its Subsidiaries shall conduct their businesses, or cause their businesses to be conducted, in substantial compliance with such Permits and with applicable Environmental Laws, except where the failure to maintain or be in compliance with such Permits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any of its Subsidiaries will be or become, at any time prior to the termination of this Agreement, an “investment company,”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Securities Act and Exchange Act</w:t>
      </w:r>
      <w:r>
        <w:rPr>
          <w:rFonts w:ascii="Times New Roman" w:hAnsi="Times New Roman"/>
          <w:sz w:val="20"/>
        </w:rPr>
        <w:t xml:space="preserve">. The Company will use its reasonable best efforts to comply with all requirements imposed upon it by the Securities Act and the Exchange Act as from time to time in force, so far as necessary to permit the sales of, or dealings in, the Placement Shares as contemplated by the provisions hereof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Offer to Sell</w:t>
      </w:r>
      <w:r>
        <w:rPr>
          <w:rFonts w:ascii="Times New Roman" w:hAnsi="Times New Roman"/>
          <w:sz w:val="20"/>
        </w:rPr>
        <w:t xml:space="preserve">. Other than a free writing prospectus (as defined in Rule 405 under the Securities Act) approved in advance by the Company and the Agents, neither the Agents nor the Company (including its agents and representatives, other than the Agents in their capacity as agents) will make, use, prepare, authorize, approve or refer to any written communication (as defined in Rule 405 under the Securities Act), required to be filed with the Commission, that constitutes an offer to sell or solicitation of an offer to buy Placement Shares hereunder.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Blue Sky and Other Qualifications</w:t>
      </w:r>
      <w:r>
        <w:rPr>
          <w:rFonts w:ascii="Times New Roman" w:hAnsi="Times New Roman"/>
          <w:sz w:val="20"/>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hAnsi="Times New Roman"/>
          <w:i/>
          <w:sz w:val="20"/>
        </w:rPr>
        <w:t>provided, however</w:t>
      </w:r>
      <w:r>
        <w:rPr>
          <w:rFonts w:ascii="Times New Roman" w:hAnsi="Times New Roman"/>
          <w:sz w:val="20"/>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Sarbanes-Oxley Act</w:t>
      </w:r>
      <w:r>
        <w:rPr>
          <w:rFonts w:ascii="Times New Roman" w:hAnsi="Times New Roman"/>
          <w:sz w:val="20"/>
        </w:rPr>
        <w:t xml:space="preserve">.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Emerging Growth Company</w:t>
      </w:r>
      <w:r>
        <w:rPr>
          <w:rFonts w:ascii="Times New Roman" w:hAnsi="Times New Roman"/>
          <w:sz w:val="20"/>
        </w:rPr>
        <w:t xml:space="preserve">. The Company will promptly notify the Agents if the Company ceases to be an Emerging Growth Company at any time prior to the completion of the Agents’ distribution of the Placement Shares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Renewal of Registration Statement.</w:t>
      </w:r>
      <w:r>
        <w:rPr>
          <w:rFonts w:ascii="Times New Roman" w:hAnsi="Times New Roman"/>
          <w:sz w:val="20"/>
        </w:rPr>
        <w:t xml:space="preserve"> If, immediately prior to the third anniversary of the initial effective date of the Registration Statement (the “</w:t>
      </w:r>
      <w:r>
        <w:rPr>
          <w:rFonts w:ascii="Times New Roman" w:hAnsi="Times New Roman"/>
          <w:b/>
          <w:sz w:val="20"/>
          <w:u w:val="single"/>
        </w:rPr>
        <w:t>Renewal Date</w:t>
      </w:r>
      <w:r>
        <w:rPr>
          <w:rFonts w:ascii="Times New Roman" w:hAnsi="Times New Roman"/>
          <w:sz w:val="20"/>
        </w:rPr>
        <w:t xml:space="preserve">”),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Agents and their counsel, and, if such registration statement is not an automatic shelf registration statement, will use its reasonable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General Instruction I.B.6. of Form S-3</w:t>
      </w:r>
      <w:r>
        <w:rPr>
          <w:rFonts w:ascii="Times New Roman" w:hAnsi="Times New Roman"/>
          <w:sz w:val="20"/>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Agents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Agents to resume the offering of Placement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Tax Indemnity</w:t>
      </w:r>
      <w:r>
        <w:rPr>
          <w:rFonts w:ascii="Times New Roman" w:hAnsi="Times New Roman"/>
          <w:sz w:val="20"/>
        </w:rPr>
        <w:t xml:space="preserve">. The Company will indemnify and hold harmless the Agents against any documentary, stamp or similar issue tax, including any interest and penalties, on the issue and sale of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Transfer Agent</w:t>
      </w:r>
      <w:r>
        <w:rPr>
          <w:rFonts w:ascii="Times New Roman" w:hAnsi="Times New Roman"/>
          <w:sz w:val="20"/>
        </w:rPr>
        <w:t xml:space="preserve">. The Company has engaged and will maintain, at its sole expense, a transfer agent and registrar for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Conditions to the Agents’ Obligations</w:t>
      </w:r>
      <w:r>
        <w:rPr>
          <w:rFonts w:ascii="Times New Roman" w:hAnsi="Times New Roman"/>
          <w:sz w:val="20"/>
        </w:rPr>
        <w:t xml:space="preserve">.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the Agents in their reasonable judgment, and to the continuing satisfaction (or waiver by the Agents in their sole discretion)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and shall be available for all offers and sales of Placement Shares (i) that have been issued pursuant to all prior Placement Notices and (ii) that will be issued pursuant to any Placement Notice.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ATM Prospectus</w:t>
      </w:r>
      <w:r>
        <w:rPr>
          <w:rFonts w:ascii="Times New Roman" w:hAnsi="Times New Roman"/>
          <w:sz w:val="20"/>
        </w:rPr>
        <w:t xml:space="preserve">. The Company shall have filed with the Commission the ATM Prospectus pursuant to Rule 424(b) under the Securities Act not later than the Commission’s close of business on the second Business Day following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in the case of the Prospectus, so that it will not contain any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Misstatement or Material Omission</w:t>
      </w:r>
      <w:r>
        <w:rPr>
          <w:rFonts w:ascii="Times New Roman" w:hAnsi="Times New Roman"/>
          <w:sz w:val="20"/>
        </w:rPr>
        <w:t xml:space="preserve">. The Agents shall not have advised the Company that the Registration Statement or Prospectus, or any amendment or supplement thereto, contains an untrue statement of fact that in the Agents’ opinion is material, or omits to state a fact that in the Agents’ opinion is material and is required to be stated therein or is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result in a Material Adverse Effect,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Company Counsel Legal Opinions</w:t>
      </w:r>
      <w:r>
        <w:rPr>
          <w:rFonts w:ascii="Times New Roman" w:hAnsi="Times New Roman"/>
          <w:sz w:val="20"/>
        </w:rPr>
        <w:t xml:space="preserve">. The Agents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Agents’ Counsel Legal Opinion</w:t>
      </w:r>
      <w:r>
        <w:rPr>
          <w:rFonts w:ascii="Times New Roman" w:hAnsi="Times New Roman"/>
          <w:sz w:val="20"/>
        </w:rPr>
        <w:t xml:space="preserve">. The Agents shall have received from Covington &amp; Burling LLP, counsel for the Agents, such opinion or opinions, on or before the date on which the delivery of the Company Counsel legal opinion is required pursuant to Section 7(n), with respect to such matters as the Agents may reasonably require, and the Company shall have furnished to such counsel such documents as they may request to enable them to pass upon such matters.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Comfort Letter</w:t>
      </w:r>
      <w:r>
        <w:rPr>
          <w:rFonts w:ascii="Times New Roman" w:hAnsi="Times New Roman"/>
          <w:sz w:val="20"/>
        </w:rPr>
        <w:t xml:space="preserve">. The Agents shall have received the Comfort Letter required to be delivered pursuant to Section 7(p) on or before the date on which such delivery of such Comfort Letter is required pursuant to Section 7(p).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Representation Certificate</w:t>
      </w:r>
      <w:r>
        <w:rPr>
          <w:rFonts w:ascii="Times New Roman" w:hAnsi="Times New Roman"/>
          <w:sz w:val="20"/>
        </w:rPr>
        <w:t xml:space="preserve">. The Agents shall have received the certificate required to be delivered pursuant to Section 7(m) on or before the date on which delivery of such certificate is required pursuant to Section 7(m).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Secretary’s Certificate</w:t>
      </w:r>
      <w:r>
        <w:rPr>
          <w:rFonts w:ascii="Times New Roman" w:hAnsi="Times New Roman"/>
          <w:sz w:val="20"/>
        </w:rPr>
        <w:t xml:space="preserve">. On or prior to the First Placement Notice Date, the Agents shall have received a certificate, signed on behalf of the Company by the Secretary of the Company and attested to by an executive officer of the Company, dated as of such date and in form and substance satisfactory to the Agents and their counsel, certifying as to (i) the amended and restated certificate of incorporation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hAnsi="Times New Roman"/>
          <w:b/>
          <w:sz w:val="20"/>
          <w:u w:val="single"/>
        </w:rPr>
        <w:t>Schedule 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CFO Certificate.</w:t>
      </w:r>
      <w:r>
        <w:rPr>
          <w:rFonts w:ascii="Times New Roman" w:hAnsi="Times New Roman"/>
          <w:sz w:val="20"/>
        </w:rPr>
        <w:t xml:space="preserve"> If requested by the Agents, on or prior to the First Placement Notice Date and on any date which the Company is obligated to deliver a certificate pursuant to Section 7(m) for which no waiver is applicable, the Company shall furnish the Agents a certificate executed by the Chief Financial Officer of the Company or the principal financial officer of the Company, signing in such capacity, dated the date of delivery, with respect to certain financial data contained in the Registration Statement and the Prospectus, providing “management comfort” with respect to such information, in form and substance reasonably satisfactory to the Agents.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No Suspension</w:t>
      </w:r>
      <w:r>
        <w:rPr>
          <w:rFonts w:ascii="Times New Roman" w:hAnsi="Times New Roman"/>
          <w:sz w:val="20"/>
        </w:rPr>
        <w:t xml:space="preserve">. The Common Stock shall be duly listed, and admitted and authorized for trading, subject to official notice of issuance, on Nasdaq. Trading in the Common Stock shall not have been suspended on, and the Common Stock shall not have been delisted from,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Section 7(m), the Company shall have furnished to the Agents such appropriate further information, opinions, certificates, letters and other documents as the Agents may have reasonably requested. All such information, opinions, certificates, letters and other documents shall have been in compliance with the provisions hereof. The Company shall have furnished the Agents with conformed copies of such opinions, certificates, letters and other documents as the Agents may have reasonably requested.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Approval for Listing</w:t>
      </w:r>
      <w:r>
        <w:rPr>
          <w:rFonts w:ascii="Times New Roman" w:hAnsi="Times New Roman"/>
          <w:sz w:val="20"/>
        </w:rPr>
        <w:t xml:space="preserve">. Either (i) the Placement Shares shall have been approved for listing on Nasdaq, subject only to notice of issuance, or (ii) the Company shall have filed an application for listing of the Placement Shares on Nasdaq at, or prior to, the First Placement Notice Date and Nasdaq shall have reviewed such application and not provided any objections thereto.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FINRA</w:t>
      </w:r>
      <w:r>
        <w:rPr>
          <w:rFonts w:ascii="Times New Roman" w:hAnsi="Times New Roman"/>
          <w:sz w:val="20"/>
        </w:rPr>
        <w:t xml:space="preserve">. FINRA shall have raised no objection to the terms of the offering contemplated hereby and the amount of compensation allowable or payable to the Agents as described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the Agents to terminate this Agreement pursuant to Section 11(a).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Indemnification</w:t>
      </w:r>
      <w:r>
        <w:rPr>
          <w:rFonts w:ascii="Times New Roman" w:hAnsi="Times New Roman"/>
          <w:sz w:val="20"/>
        </w:rPr>
        <w:t xml:space="preserve">. The Company agrees to indemnify and hold harmless each Agent, its affiliates and their respective partners, members, directors, officers, employees and agents, and each person, if any, who (i) controls such Agent within the meaning of Section 15 of the Securities Act or Section 20 of the Exchange Act or (ii) is controlled by or is under common control with such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such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therein or necessary to make the statements therein (solely with respect to the Prospectus, in light of the circumstances under which they were made) not misleading or (z) any breach by any of the indemnifying parties of any of their respective representations, warranties or agreements contained in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indemnity agreement shall not apply to 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the Agents’ Information. This indemnity agreement will be in addition to any liability that the Company might otherwise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Agent Indemnification</w:t>
      </w:r>
      <w:r>
        <w:rPr>
          <w:rFonts w:ascii="Times New Roman" w:hAnsi="Times New Roman"/>
          <w:sz w:val="20"/>
        </w:rPr>
        <w:t xml:space="preserve">. Each Agent, severally and not jointly,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Settlement Without Consent if Failure to Reimburse</w:t>
      </w:r>
      <w:r>
        <w:rPr>
          <w:rFonts w:ascii="Times New Roman" w:hAnsi="Times New Roman"/>
          <w:i/>
          <w:sz w:val="20"/>
        </w:rPr>
        <w:t xml:space="preserve">. </w:t>
      </w:r>
      <w:r>
        <w:rPr>
          <w:rFonts w:ascii="Times New Roman" w:hAnsi="Times New Roman"/>
          <w:sz w:val="20"/>
        </w:rPr>
        <w:t xml:space="preserve">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Agents, such as persons who control the Company within the meaning of the Securities Act, officers of the Company who signed the Registration Statement and directors of the Company, who also may be liable for contribution)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the Agents agree that it would not be just and equitable if contributions pursuant to this Section 9(e) were to be determined by </w:t>
      </w:r>
      <w:r>
        <w:rPr>
          <w:rFonts w:ascii="Times New Roman" w:hAnsi="Times New Roman"/>
          <w:i/>
          <w:sz w:val="20"/>
        </w:rPr>
        <w:t>pro rata</w:t>
      </w:r>
      <w:r>
        <w:rPr>
          <w:rFonts w:ascii="Times New Roman" w:hAnsi="Times New Roman"/>
          <w:sz w:val="20"/>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Agents shall not be required to contribute any amount in excess of the commissions received by it under this Agreement and no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an Agent, any partners, members, directors, officers, employees and agents of such Agent and each person that is controlled by or under common control with such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 The Agents’ respective obligations to contribute pursuant to this Section 9(e) are several in proportion to the respective number of Placement Shares they have sold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employees or controlling persons), (ii) delivery and acceptance of the Placement Shares and payment therefor or (iii)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 Agent shall have the right, by giving notice as hereinafter specified, at any time to terminate this Agreement with respect to itself if (i) any Material Adverse Effect, or any development that could reasonably be expected to result in a Material Adverse Effect, has occurred that, in the judgment of such Agent, may materially impair the ability of such Agent to sell the Placement Shares hereunder, (ii) the Company shall have failed, refused or been unable to perform any agreement on its part to be performed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in the case of any failure of the Company to deliver (or cause another person to deliver) any certification, opinion or letter required under Section 7(m), Section 7(n), Section 7(o) or Section 7(p), such Agent’s right to terminate shall not arise unless such failure to deliver (or cause to be delivered) continues for more than 15 calendar days from the date such delivery was required, (iii) any other condition of such Agent’s obligations hereunder is not fulfilled, (iv) any suspension or limitation of trading in the Placement Shares or in securities generally on Nasdaq shall have occurred, (v) a general banking moratorium shall have been declared by any United States federal or New York authorities, or (vi)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that, in the judgment of such Agent, may materially impair the ability of such Agent to sell the Placement Shares hereunder or to enforce contracts for the sale of securities. Any such termination shall be without liability of any party to any other party except that the provisions of Section 7(g), Section 9, Section 10, Section 16 and Section 17 hereof shall remain in full force and effect notwithstanding such termination. If an Agent elects to terminate this Agreement as provided in this Section 11(a), such Agent shall provide the required notice as specified in Section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have the right, by giving 10 days’ prior notice as hereinafter specified, to terminate this Agreement in its entirety or with respect to any one or more of the Agents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(c) Each Agent shall have the right, by giving 10 days’ prior notice as hereinafter specified, to terminate this Agreement with respect to itself in its sole discretion at any time after the date of this Agreement. Any such termination shall be without liability of any party to any other party except that the provisions of Section 7(g), Section 9, Section 10, Section 11(f), Section 16 and Section 17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Unless earlier terminated pursuant to this Section 11, this Agreement shall automatically terminate upon the issuance and sale of all of the Placement Shares through the Agents on the terms and subject to the conditions set forth herein; </w:t>
      </w:r>
      <w:r>
        <w:rPr>
          <w:rFonts w:ascii="Times New Roman" w:hAnsi="Times New Roman"/>
          <w:i/>
          <w:sz w:val="20"/>
        </w:rPr>
        <w:t>provided</w:t>
      </w:r>
      <w:r>
        <w:rPr>
          <w:rFonts w:ascii="Times New Roman" w:hAnsi="Times New Roman"/>
          <w:sz w:val="20"/>
        </w:rPr>
        <w:t xml:space="preserve"> that the provisions of Section 7(g), Section 9, Section 10, Section 11(f), Section 16 and Section 17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(e) This Agreement shall remain in full force and effect unless terminated pursuant to Sections 11(a), (b), (c), or (d) above or otherwise by mutual agreement of the parties;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termination by mutual agreement shall in all cases be deemed to provide that Section 7(g), Section 9, Section 10, Section 11(f), Section 16 and Section 17 shall remain in full force and effect. To the extent this Agreement is terminated by one Agent or by the Company with respect to one Agent pursuant to Sections 11(a), (b) or (c) above, this Agreement shall terminate only with respect to such Agent and shall remain in full force and effect with respect to the Company and the other Agent, unless and until terminated pursuant to Sections 11(a), (b) or (c) above. </w:t>
      </w:r>
    </w:p>
    <w:p>
      <w:pPr>
        <w:pStyle w:val="TextBody"/>
        <w:bidi w:val="0"/>
        <w:spacing w:before="240" w:after="0"/>
        <w:jc w:val="left"/>
        <w:rPr>
          <w:rFonts w:ascii="Times New Roman" w:hAnsi="Times New Roman"/>
          <w:sz w:val="20"/>
        </w:rPr>
      </w:pPr>
      <w:r>
        <w:rPr>
          <w:rFonts w:ascii="Times New Roman" w:hAnsi="Times New Roman"/>
          <w:sz w:val="20"/>
        </w:rPr>
        <w:t xml:space="preserve">(f) Any termination of this Agreement shall be effective on the date specified in such notice of termination; </w:t>
      </w:r>
      <w:r>
        <w:rPr>
          <w:rFonts w:ascii="Times New Roman" w:hAnsi="Times New Roman"/>
          <w:i/>
          <w:sz w:val="20"/>
        </w:rPr>
        <w:t>provided, however</w:t>
      </w:r>
      <w:r>
        <w:rPr>
          <w:rFonts w:ascii="Times New Roman" w:hAnsi="Times New Roman"/>
          <w:sz w:val="20"/>
        </w:rPr>
        <w:t xml:space="preserve">, that such termination shall not be effective until the close of business on the date of receipt of such notice by an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an Agent any discount or commission with respect to any Placement Shares not otherwise sold by such Agent under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remain obligated to reimburse such Agent’s expenses pursuant to Section 7(g).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Notices</w:t>
      </w:r>
      <w:r>
        <w:rPr>
          <w:rFonts w:ascii="Times New Roman" w:hAnsi="Times New Roman"/>
          <w:sz w:val="20"/>
        </w:rPr>
        <w:t xml:space="preserve">. All notices or other communications required or permitted to be given by any party to any other party pursuant to the terms of this Agreement shall be in writing, unless otherwise specified in this Agreement, and if sent to the Agents, shall be delivered to: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Peter M. Fry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left"/>
        <w:rPr>
          <w:rFonts w:ascii="Times New Roman" w:hAnsi="Times New Roman"/>
          <w:sz w:val="20"/>
        </w:rPr>
      </w:pPr>
      <w:r>
        <w:rPr>
          <w:rFonts w:ascii="Times New Roman" w:hAnsi="Times New Roman"/>
          <w:sz w:val="20"/>
        </w:rPr>
        <w:t xml:space="preserve">Attention: Capital Markets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w:t>
      </w:r>
    </w:p>
    <w:p>
      <w:pPr>
        <w:pStyle w:val="TextBody"/>
        <w:bidi w:val="0"/>
        <w:spacing w:before="0" w:after="0"/>
        <w:jc w:val="left"/>
        <w:rPr>
          <w:rFonts w:ascii="Times New Roman" w:hAnsi="Times New Roman"/>
          <w:sz w:val="20"/>
        </w:rPr>
      </w:pPr>
      <w:r>
        <w:rPr>
          <w:rFonts w:ascii="Times New Roman" w:hAnsi="Times New Roman"/>
          <w:sz w:val="20"/>
        </w:rPr>
        <w:t xml:space="preserve">1301 Avenue of the Americas,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Cantor Fitzgerald &amp; Co. </w:t>
      </w:r>
    </w:p>
    <w:p>
      <w:pPr>
        <w:pStyle w:val="TextBody"/>
        <w:bidi w:val="0"/>
        <w:spacing w:before="0" w:after="0"/>
        <w:jc w:val="left"/>
        <w:rPr>
          <w:rFonts w:ascii="Times New Roman" w:hAnsi="Times New Roman"/>
          <w:sz w:val="20"/>
        </w:rPr>
      </w:pPr>
      <w:r>
        <w:rPr>
          <w:rFonts w:ascii="Times New Roman" w:hAnsi="Times New Roman"/>
          <w:sz w:val="20"/>
        </w:rPr>
        <w:t xml:space="preserve">110 East 59th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Covington &amp; Burling LLP </w:t>
      </w:r>
    </w:p>
    <w:p>
      <w:pPr>
        <w:pStyle w:val="TextBody"/>
        <w:bidi w:val="0"/>
        <w:spacing w:before="0" w:after="0"/>
        <w:jc w:val="left"/>
        <w:rPr>
          <w:rFonts w:ascii="Times New Roman" w:hAnsi="Times New Roman"/>
          <w:sz w:val="20"/>
        </w:rPr>
      </w:pPr>
      <w:r>
        <w:rPr>
          <w:rFonts w:ascii="Times New Roman" w:hAnsi="Times New Roman"/>
          <w:sz w:val="20"/>
        </w:rPr>
        <w:t xml:space="preserve">30 Hudson Yards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10001 </w:t>
      </w:r>
    </w:p>
    <w:p>
      <w:pPr>
        <w:pStyle w:val="TextBody"/>
        <w:bidi w:val="0"/>
        <w:spacing w:before="0" w:after="0"/>
        <w:jc w:val="left"/>
        <w:rPr>
          <w:rFonts w:ascii="Times New Roman" w:hAnsi="Times New Roman"/>
          <w:sz w:val="20"/>
        </w:rPr>
      </w:pPr>
      <w:r>
        <w:rPr>
          <w:rFonts w:ascii="Times New Roman" w:hAnsi="Times New Roman"/>
          <w:sz w:val="20"/>
        </w:rPr>
        <w:t xml:space="preserve">Attention: Brian K. Rosenzweig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and if to the Company, shall be delivered to: </w:t>
      </w:r>
    </w:p>
    <w:p>
      <w:pPr>
        <w:pStyle w:val="TextBody"/>
        <w:bidi w:val="0"/>
        <w:spacing w:before="240" w:after="0"/>
        <w:jc w:val="left"/>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256 E. Grand Avenue, Suite 104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left"/>
        <w:rPr>
          <w:rFonts w:ascii="Times New Roman" w:hAnsi="Times New Roman"/>
          <w:sz w:val="20"/>
        </w:rPr>
      </w:pPr>
      <w:r>
        <w:rPr>
          <w:rFonts w:ascii="Times New Roman" w:hAnsi="Times New Roman"/>
          <w:sz w:val="20"/>
        </w:rPr>
        <w:t xml:space="preserve">Attention: Chief Operating Officer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525 Market Street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Maggie Wong </w:t>
      </w:r>
    </w:p>
    <w:p>
      <w:pPr>
        <w:pStyle w:val="TextBody"/>
        <w:bidi w:val="0"/>
        <w:spacing w:before="0" w:after="0"/>
        <w:jc w:val="left"/>
        <w:rPr>
          <w:rFonts w:ascii="Times New Roman" w:hAnsi="Times New Roman"/>
          <w:sz w:val="20"/>
        </w:rPr>
      </w:pPr>
      <w:r>
        <w:rPr>
          <w:rFonts w:ascii="Times New Roman" w:hAnsi="Times New Roman"/>
          <w:sz w:val="20"/>
        </w:rPr>
        <w:t xml:space="preserve">E-mail: </w:t>
      </w:r>
    </w:p>
    <w:p>
      <w:pPr>
        <w:pStyle w:val="TextBody"/>
        <w:bidi w:val="0"/>
        <w:spacing w:before="240" w:after="0"/>
        <w:jc w:val="left"/>
        <w:rPr>
          <w:rFonts w:ascii="Times New Roman" w:hAnsi="Times New Roman"/>
          <w:sz w:val="20"/>
        </w:rPr>
      </w:pPr>
      <w:r>
        <w:rPr>
          <w:rFonts w:ascii="Times New Roman" w:hAnsi="Times New Roman"/>
          <w:sz w:val="20"/>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the Nasdaq and commercial banks in the City of New York are open for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 electronic communication (“</w:t>
      </w:r>
      <w:r>
        <w:rPr>
          <w:rFonts w:ascii="Times New Roman" w:hAnsi="Times New Roman"/>
          <w:b/>
          <w:sz w:val="20"/>
          <w:u w:val="single"/>
        </w:rPr>
        <w:t>Electronic Notice</w:t>
      </w:r>
      <w:r>
        <w:rPr>
          <w:rFonts w:ascii="Times New Roman" w:hAnsi="Times New Roman"/>
          <w:sz w:val="20"/>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hAnsi="Times New Roman"/>
          <w:b/>
          <w:sz w:val="20"/>
          <w:u w:val="single"/>
        </w:rPr>
        <w:t>Nonelectronic Notice</w:t>
      </w:r>
      <w:r>
        <w:rPr>
          <w:rFonts w:ascii="Times New Roman" w:hAnsi="Times New Roman"/>
          <w:sz w:val="20"/>
        </w:rPr>
        <w:t xml:space="preserve">”), which shall be sent to the requesting party within 10 days of receipt of the written request for Nonelectronic Notice.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each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No party may assign its rights or obligations under this Agreement without the prior written consent of the other parties; </w:t>
      </w:r>
      <w:r>
        <w:rPr>
          <w:rFonts w:ascii="Times New Roman" w:hAnsi="Times New Roman"/>
          <w:i/>
          <w:sz w:val="20"/>
        </w:rPr>
        <w:t>provided, however</w:t>
      </w:r>
      <w:r>
        <w:rPr>
          <w:rFonts w:ascii="Times New Roman" w:hAnsi="Times New Roman"/>
          <w:sz w:val="20"/>
        </w:rPr>
        <w:t xml:space="preserve">, that an Agent may assign its rights and obligations hereunder to an affiliate of such Agent without obtaining the Company’s consent, so long as such affiliate is a registered broker-dealer.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Adjustments for Share Splits</w:t>
      </w:r>
      <w:r>
        <w:rPr>
          <w:rFonts w:ascii="Times New Roman" w:hAnsi="Times New Roman"/>
          <w:sz w:val="20"/>
        </w:rPr>
        <w:t xml:space="preserve">. The parties acknowledge and agree that all share-related numbers contained in this Agreement shall be adjusted to take into account any share split, share dividend or similar event effected with respect to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Entire Agreement; Amendment; Severability; Waiver</w:t>
      </w:r>
      <w:r>
        <w:rPr>
          <w:rFonts w:ascii="Times New Roman" w:hAnsi="Times New Roman"/>
          <w:sz w:val="20"/>
        </w:rPr>
        <w:t xml:space="preserve">.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r>
        <w:rPr>
          <w:rFonts w:ascii="Times New Roman" w:hAnsi="Times New Roman"/>
          <w:b/>
          <w:sz w:val="20"/>
          <w:u w:val="single"/>
        </w:rPr>
        <w:t>Schedule 2</w:t>
      </w:r>
      <w:r>
        <w:rPr>
          <w:rFonts w:ascii="Times New Roman" w:hAnsi="Times New Roman"/>
          <w:sz w:val="20"/>
        </w:rPr>
        <w:t xml:space="preserve"> of this Agreement may be amended by either party from time to time by sending a notice containing a revised </w:t>
      </w:r>
      <w:r>
        <w:rPr>
          <w:rFonts w:ascii="Times New Roman" w:hAnsi="Times New Roman"/>
          <w:b/>
          <w:sz w:val="20"/>
          <w:u w:val="single"/>
        </w:rPr>
        <w:t>Schedule 2</w:t>
      </w:r>
      <w:r>
        <w:rPr>
          <w:rFonts w:ascii="Times New Roman" w:hAnsi="Times New Roman"/>
          <w:sz w:val="20"/>
        </w:rPr>
        <w:t xml:space="preserve"> to the other party in the manner provided in Section 12 and, upon such amendment, all references herein to </w:t>
      </w:r>
      <w:r>
        <w:rPr>
          <w:rFonts w:ascii="Times New Roman" w:hAnsi="Times New Roman"/>
          <w:b/>
          <w:sz w:val="20"/>
          <w:u w:val="single"/>
        </w:rPr>
        <w:t>Schedule 2</w:t>
      </w:r>
      <w:r>
        <w:rPr>
          <w:rFonts w:ascii="Times New Roman" w:hAnsi="Times New Roman"/>
          <w:sz w:val="20"/>
        </w:rPr>
        <w:t xml:space="preserve"> shall automatically be deemed to refer to such amended </w:t>
      </w:r>
      <w:r>
        <w:rPr>
          <w:rFonts w:ascii="Times New Roman" w:hAnsi="Times New Roman"/>
          <w:b/>
          <w:sz w:val="20"/>
          <w:u w:val="single"/>
        </w:rPr>
        <w:t>Schedule 2</w:t>
      </w:r>
      <w:r>
        <w:rPr>
          <w:rFonts w:ascii="Times New Roman" w:hAnsi="Times New Roman"/>
          <w:sz w:val="20"/>
        </w:rPr>
        <w:t xml:space="preserve">.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b/>
          <w:sz w:val="20"/>
          <w:u w:val="single"/>
        </w:rPr>
        <w:t>GOVERNING LAW AND TIME; WAIVER OF JURY TRIAL</w:t>
      </w:r>
      <w:r>
        <w:rPr>
          <w:rFonts w:ascii="Times New Roman" w:hAnsi="Times New Roman"/>
          <w:b/>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Consent to Jurisdiction</w:t>
      </w:r>
      <w:r>
        <w:rPr>
          <w:rFonts w:ascii="Times New Roman" w:hAnsi="Times New Roman"/>
          <w:sz w:val="20"/>
        </w:rPr>
        <w:t xml:space="preserve">.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section and exhibit headings herein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(b) Words defined in the singular shall have a comparable meaning when used in the plural,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(c) The words “hereof,” “hereto,” “herein” and “hereunder” and words of similar import, when used in this Agreement, shall refer to this Agreement as a whole and not to any particular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Wherever the word “include,” “includes” or “including” is used in this Agreement, it shall be deemed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 References herein to any gender shall include each other gender. </w:t>
      </w:r>
    </w:p>
    <w:p>
      <w:pPr>
        <w:pStyle w:val="TextBody"/>
        <w:bidi w:val="0"/>
        <w:spacing w:before="240" w:after="0"/>
        <w:jc w:val="left"/>
        <w:rPr>
          <w:rFonts w:ascii="Times New Roman" w:hAnsi="Times New Roman"/>
          <w:sz w:val="20"/>
        </w:rPr>
      </w:pPr>
      <w:r>
        <w:rPr>
          <w:rFonts w:ascii="Times New Roman" w:hAnsi="Times New Roman"/>
          <w:sz w:val="20"/>
        </w:rPr>
        <w:t xml:space="preserve">(f)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Permitted Free Writing Prospectuses</w:t>
      </w:r>
      <w:r>
        <w:rPr>
          <w:rFonts w:ascii="Times New Roman" w:hAnsi="Times New Roman"/>
          <w:sz w:val="20"/>
        </w:rPr>
        <w:t>. Each of the Company and the Agents represents, warrants and agrees that, unless it obtains the prior written consent of the other parties,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w:t>
      </w:r>
      <w:r>
        <w:rPr>
          <w:rFonts w:ascii="Times New Roman" w:hAnsi="Times New Roman"/>
          <w:b/>
          <w:sz w:val="20"/>
          <w:u w:val="single"/>
        </w:rPr>
        <w:t>Permitted Free Writing Prospectus</w:t>
      </w:r>
      <w:r>
        <w:rPr>
          <w:rFonts w:ascii="Times New Roman" w:hAnsi="Times New Roman"/>
          <w:sz w:val="20"/>
        </w:rPr>
        <w:t xml:space="preserve">.”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Absence of Fiduciary Relationship</w:t>
      </w:r>
      <w:r>
        <w:rPr>
          <w:rFonts w:ascii="Times New Roman" w:hAnsi="Times New Roman"/>
          <w:sz w:val="20"/>
        </w:rPr>
        <w:t xml:space="preserve">. The Company acknowledges and agrees that: </w:t>
      </w:r>
    </w:p>
    <w:p>
      <w:pPr>
        <w:pStyle w:val="TextBody"/>
        <w:bidi w:val="0"/>
        <w:spacing w:before="240" w:after="0"/>
        <w:jc w:val="left"/>
        <w:rPr>
          <w:rFonts w:ascii="Times New Roman" w:hAnsi="Times New Roman"/>
          <w:sz w:val="20"/>
        </w:rPr>
      </w:pPr>
      <w:r>
        <w:rPr>
          <w:rFonts w:ascii="Times New Roman" w:hAnsi="Times New Roman"/>
          <w:sz w:val="20"/>
        </w:rPr>
        <w:t xml:space="preserve">(a) each Agent has been retained to act as sales agent in connection with the sale of the Placement Shares, such Agent has acted at arms’ length and no fiduciary or advisory relationship between the Company or any of its respective affiliates, stockholders (or other equity holders), creditors or employees or any other party, on the one hand, and such Agent, on the other hand, has been or will be created in respect of any of the transactions contemplated by this Agreement, irrespective of whether such Agent has advised or is advising the Company on other matters and the Agents have no duties or obligations to the Company with respect to the transactions contemplated by this Agreement except the obligations expressly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capable of evaluating and understanding, and understands and accepts, the terms, risks and conditions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neither the Agents nor their respective affiliates have provided any legal, accounting, regulatory or tax advice with respect to the transactions contemplated by this Agreement and the Company has consulted its own legal, accounting, regulatory and tax advisors to the extent it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been advised and is aware that the Agents and their respective affiliates are engaged in a broad range of transactions which may involve interests that differ from those of the Company and that the Agents and their respective affiliates have no obligation to disclose such interests and transactions to the Company by virtue of any fiduciary, advisory or agency relationship or otherwise; and </w:t>
      </w:r>
    </w:p>
    <w:p>
      <w:pPr>
        <w:pStyle w:val="TextBody"/>
        <w:bidi w:val="0"/>
        <w:spacing w:before="240" w:after="0"/>
        <w:jc w:val="left"/>
        <w:rPr>
          <w:rFonts w:ascii="Times New Roman" w:hAnsi="Times New Roman"/>
          <w:sz w:val="20"/>
        </w:rPr>
      </w:pPr>
      <w:r>
        <w:rPr>
          <w:rFonts w:ascii="Times New Roman" w:hAnsi="Times New Roman"/>
          <w:sz w:val="20"/>
        </w:rPr>
        <w:t xml:space="preserve">(e) the Company waives, to the fullest extent permitted by law, any claims it may have against the Agents or their respective affiliates for breach of fiduciary duty or alleged breach of fiduciary duty in connection with the transactions contemplated by this Agreement and agrees that the Agents and their respective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Recognition of the U.S. Special Resolution Regimes</w:t>
      </w:r>
      <w:r>
        <w:rPr>
          <w:rFonts w:ascii="Times New Roman" w:hAnsi="Times New Roman"/>
          <w:sz w:val="20"/>
        </w:rPr>
        <w:t xml:space="preserve">. In the event that an Agent is a Covered Entity and becomes subject to a proceeding under a U.S. Special Resolution Regime, the transfer from such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 Agent is a Covered Entity and such Agent or a BHC Act Affiliate of such Agent becomes subject to a proceeding under a U.S. Special Resolution Regime, Default Rights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Use of Information</w:t>
      </w:r>
      <w:r>
        <w:rPr>
          <w:rFonts w:ascii="Times New Roman" w:hAnsi="Times New Roman"/>
          <w:sz w:val="20"/>
        </w:rPr>
        <w:t xml:space="preserve">. The Agents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Agents’ Information</w:t>
      </w:r>
      <w:r>
        <w:rPr>
          <w:rFonts w:ascii="Times New Roman" w:hAnsi="Times New Roman"/>
          <w:sz w:val="20"/>
        </w:rPr>
        <w:t>. As used in this Agreement, “</w:t>
      </w:r>
      <w:r>
        <w:rPr>
          <w:rFonts w:ascii="Times New Roman" w:hAnsi="Times New Roman"/>
          <w:b/>
          <w:sz w:val="20"/>
          <w:u w:val="single"/>
        </w:rPr>
        <w:t>Agents’ Information</w:t>
      </w:r>
      <w:r>
        <w:rPr>
          <w:rFonts w:ascii="Times New Roman" w:hAnsi="Times New Roman"/>
          <w:sz w:val="20"/>
        </w:rPr>
        <w:t xml:space="preserve">” means solely the following information in the Registration Statement and the Prospectus: the last sentence of the eighth paragraph under the heading “Plan of Distribution”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the Registration Statement, the Prospectus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“supplements” to the Prospectus shall include any supplements, “wrappers” or similar materials prepared in connection with any offering, sale or private placement of any Placement Shares by the Agents outside of the United States.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the Agents, please so indicate in the space provided below for that purpose, whereupon this letter shall constitute a binding agreement between the Company and the Agents.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67"/>
        <w:gridCol w:w="89"/>
        <w:gridCol w:w="3426"/>
      </w:tblGrid>
      <w:tr>
        <w:trPr/>
        <w:tc>
          <w:tcPr>
            <w:tcW w:w="567"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34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BRIDGEBIO ONCOLOGY THERAPEUTICS, INC.</w:t>
            </w:r>
          </w:p>
        </w:tc>
      </w:tr>
      <w:tr>
        <w:trPr>
          <w:trHeight w:val="240" w:hRule="atLeast"/>
        </w:trPr>
        <w:tc>
          <w:tcPr>
            <w:tcW w:w="567" w:type="dxa"/>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Pedro J. Beltran</w:t>
            </w:r>
          </w:p>
        </w:tc>
      </w:tr>
      <w:tr>
        <w:trPr/>
        <w:tc>
          <w:tcPr>
            <w:tcW w:w="567"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Name: Pedro J. Beltran, Ph.D.</w:t>
            </w:r>
          </w:p>
        </w:tc>
      </w:tr>
      <w:tr>
        <w:trPr/>
        <w:tc>
          <w:tcPr>
            <w:tcW w:w="567"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 as of the date 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LEERINK PARTNERS LLC</w:t>
            </w:r>
          </w:p>
        </w:tc>
      </w:tr>
      <w:tr>
        <w:trPr>
          <w:trHeight w:val="240" w:hRule="atLeast"/>
        </w:trPr>
        <w:tc>
          <w:tcPr>
            <w:tcW w:w="567" w:type="dxa"/>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M. Fry</w:t>
            </w:r>
          </w:p>
        </w:tc>
      </w:tr>
      <w:tr>
        <w:trPr/>
        <w:tc>
          <w:tcPr>
            <w:tcW w:w="567"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Name: Peter M. Fry</w:t>
            </w:r>
          </w:p>
        </w:tc>
      </w:tr>
      <w:tr>
        <w:trPr/>
        <w:tc>
          <w:tcPr>
            <w:tcW w:w="567"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Title: Head of Alternative Equities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CANTOR FITZGERALD &amp; CO.</w:t>
            </w:r>
          </w:p>
        </w:tc>
      </w:tr>
      <w:tr>
        <w:trPr>
          <w:trHeight w:val="240" w:hRule="atLeast"/>
        </w:trPr>
        <w:tc>
          <w:tcPr>
            <w:tcW w:w="567" w:type="dxa"/>
            <w:tcBorders/>
            <w:vAlign w:val="center"/>
          </w:tcPr>
          <w:p>
            <w:pPr>
              <w:pStyle w:val="TableContents"/>
              <w:bidi w:val="0"/>
              <w:spacing w:before="0" w:after="283"/>
              <w:jc w:val="left"/>
              <w:rPr>
                <w:sz w:val="4"/>
                <w:szCs w:val="4"/>
              </w:rPr>
            </w:pPr>
            <w:r>
              <w:rPr>
                <w:sz w:val="4"/>
                <w:szCs w:val="4"/>
              </w:rPr>
            </w:r>
          </w:p>
        </w:tc>
        <w:tc>
          <w:tcPr>
            <w:tcW w:w="3515" w:type="dxa"/>
            <w:gridSpan w:val="2"/>
            <w:tcBorders/>
            <w:vAlign w:val="center"/>
          </w:tcPr>
          <w:p>
            <w:pPr>
              <w:pStyle w:val="TableContents"/>
              <w:bidi w:val="0"/>
              <w:spacing w:before="0" w:after="283"/>
              <w:jc w:val="left"/>
              <w:rPr>
                <w:sz w:val="4"/>
                <w:szCs w:val="4"/>
              </w:rPr>
            </w:pPr>
            <w:r>
              <w:rPr>
                <w:sz w:val="4"/>
                <w:szCs w:val="4"/>
              </w:rPr>
            </w:r>
          </w:p>
        </w:tc>
      </w:tr>
      <w:tr>
        <w:trPr/>
        <w:tc>
          <w:tcPr>
            <w:tcW w:w="567" w:type="dxa"/>
            <w:tcBorders/>
          </w:tcPr>
          <w:p>
            <w:pPr>
              <w:pStyle w:val="TableContents"/>
              <w:bidi w:val="0"/>
              <w:spacing w:before="0" w:after="283"/>
              <w:jc w:val="left"/>
              <w:rPr/>
            </w:pPr>
            <w:r>
              <w:rPr/>
              <w:t>By:</w:t>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Sameer Vasudev</w:t>
            </w:r>
          </w:p>
        </w:tc>
      </w:tr>
      <w:tr>
        <w:trPr/>
        <w:tc>
          <w:tcPr>
            <w:tcW w:w="567"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Name: Sameer Vasudev</w:t>
            </w:r>
          </w:p>
        </w:tc>
      </w:tr>
      <w:tr>
        <w:trPr/>
        <w:tc>
          <w:tcPr>
            <w:tcW w:w="567" w:type="dxa"/>
            <w:tcBorders/>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pPr>
            <w:r>
              <w:rPr/>
              <w:t> </w:t>
            </w:r>
          </w:p>
        </w:tc>
        <w:tc>
          <w:tcPr>
            <w:tcW w:w="3426"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Sales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PLACEMENT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2"/>
        <w:gridCol w:w="121"/>
        <w:gridCol w:w="9352"/>
      </w:tblGrid>
      <w:tr>
        <w:trPr/>
        <w:tc>
          <w:tcPr>
            <w:tcW w:w="7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352" w:type="dxa"/>
            <w:tcBorders/>
            <w:vAlign w:val="center"/>
          </w:tcPr>
          <w:p>
            <w:pPr>
              <w:pStyle w:val="TableContents"/>
              <w:bidi w:val="0"/>
              <w:spacing w:before="0" w:after="283"/>
              <w:jc w:val="left"/>
              <w:rPr>
                <w:sz w:val="4"/>
                <w:szCs w:val="4"/>
              </w:rPr>
            </w:pPr>
            <w:r>
              <w:rPr>
                <w:sz w:val="4"/>
                <w:szCs w:val="4"/>
              </w:rPr>
            </w:r>
          </w:p>
        </w:tc>
      </w:tr>
      <w:tr>
        <w:trPr/>
        <w:tc>
          <w:tcPr>
            <w:tcW w:w="732" w:type="dxa"/>
            <w:tcBorders/>
          </w:tcPr>
          <w:p>
            <w:pPr>
              <w:pStyle w:val="TableContents"/>
              <w:bidi w:val="0"/>
              <w:spacing w:before="0" w:after="283"/>
              <w:jc w:val="left"/>
              <w:rPr/>
            </w:pPr>
            <w:r>
              <w:rPr/>
              <w:t>From:</w:t>
            </w:r>
          </w:p>
        </w:tc>
        <w:tc>
          <w:tcPr>
            <w:tcW w:w="121" w:type="dxa"/>
            <w:tcBorders/>
            <w:vAlign w:val="bottom"/>
          </w:tcPr>
          <w:p>
            <w:pPr>
              <w:pStyle w:val="TableContents"/>
              <w:bidi w:val="0"/>
              <w:spacing w:before="0" w:after="283"/>
              <w:jc w:val="left"/>
              <w:rPr/>
            </w:pPr>
            <w:r>
              <w:rPr/>
              <w:t>  </w:t>
            </w:r>
          </w:p>
        </w:tc>
        <w:tc>
          <w:tcPr>
            <w:tcW w:w="9352" w:type="dxa"/>
            <w:tcBorders/>
          </w:tcPr>
          <w:p>
            <w:pPr>
              <w:pStyle w:val="TableContents"/>
              <w:bidi w:val="0"/>
              <w:spacing w:before="0" w:after="283"/>
              <w:jc w:val="left"/>
              <w:rPr/>
            </w:pPr>
            <w:r>
              <w:rPr/>
              <w:t>[      ]</w:t>
            </w:r>
          </w:p>
        </w:tc>
      </w:tr>
      <w:tr>
        <w:trPr/>
        <w:tc>
          <w:tcPr>
            <w:tcW w:w="73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352" w:type="dxa"/>
            <w:tcBorders/>
          </w:tcPr>
          <w:p>
            <w:pPr>
              <w:pStyle w:val="TableContents"/>
              <w:bidi w:val="0"/>
              <w:spacing w:before="0" w:after="283"/>
              <w:jc w:val="left"/>
              <w:rPr/>
            </w:pPr>
            <w:r>
              <w:rPr/>
              <w:t>[TITLE]</w:t>
            </w:r>
          </w:p>
        </w:tc>
      </w:tr>
      <w:tr>
        <w:trPr/>
        <w:tc>
          <w:tcPr>
            <w:tcW w:w="732"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352" w:type="dxa"/>
            <w:tcBorders/>
          </w:tcPr>
          <w:p>
            <w:pPr>
              <w:pStyle w:val="TableContents"/>
              <w:bidi w:val="0"/>
              <w:spacing w:before="0" w:after="283"/>
              <w:jc w:val="left"/>
              <w:rPr/>
            </w:pPr>
            <w:r>
              <w:rPr/>
              <w:t>BridgeBio Oncology Therapeutics, Inc.</w:t>
            </w:r>
          </w:p>
        </w:tc>
      </w:tr>
      <w:tr>
        <w:trPr/>
        <w:tc>
          <w:tcPr>
            <w:tcW w:w="732" w:type="dxa"/>
            <w:tcBorders/>
          </w:tcPr>
          <w:p>
            <w:pPr>
              <w:pStyle w:val="TableContents"/>
              <w:bidi w:val="0"/>
              <w:spacing w:before="0" w:after="283"/>
              <w:jc w:val="left"/>
              <w:rPr/>
            </w:pPr>
            <w:r>
              <w:rPr/>
              <w:t>Cc:</w:t>
            </w:r>
          </w:p>
        </w:tc>
        <w:tc>
          <w:tcPr>
            <w:tcW w:w="121" w:type="dxa"/>
            <w:tcBorders/>
            <w:vAlign w:val="bottom"/>
          </w:tcPr>
          <w:p>
            <w:pPr>
              <w:pStyle w:val="TableContents"/>
              <w:bidi w:val="0"/>
              <w:spacing w:before="0" w:after="283"/>
              <w:jc w:val="left"/>
              <w:rPr/>
            </w:pPr>
            <w:r>
              <w:rPr/>
              <w:t>  </w:t>
            </w:r>
          </w:p>
        </w:tc>
        <w:tc>
          <w:tcPr>
            <w:tcW w:w="9352" w:type="dxa"/>
            <w:tcBorders/>
          </w:tcPr>
          <w:p>
            <w:pPr>
              <w:pStyle w:val="TableContents"/>
              <w:bidi w:val="0"/>
              <w:spacing w:before="0" w:after="283"/>
              <w:jc w:val="left"/>
              <w:rPr/>
            </w:pPr>
            <w:r>
              <w:rPr/>
              <w:t>[      ]</w:t>
            </w:r>
          </w:p>
        </w:tc>
      </w:tr>
      <w:tr>
        <w:trPr/>
        <w:tc>
          <w:tcPr>
            <w:tcW w:w="732" w:type="dxa"/>
            <w:tcBorders/>
          </w:tcPr>
          <w:p>
            <w:pPr>
              <w:pStyle w:val="TableContents"/>
              <w:bidi w:val="0"/>
              <w:spacing w:before="0" w:after="283"/>
              <w:jc w:val="left"/>
              <w:rPr/>
            </w:pPr>
            <w:r>
              <w:rPr/>
              <w:t>To:</w:t>
            </w:r>
          </w:p>
        </w:tc>
        <w:tc>
          <w:tcPr>
            <w:tcW w:w="121" w:type="dxa"/>
            <w:tcBorders/>
            <w:vAlign w:val="bottom"/>
          </w:tcPr>
          <w:p>
            <w:pPr>
              <w:pStyle w:val="TableContents"/>
              <w:bidi w:val="0"/>
              <w:spacing w:before="0" w:after="283"/>
              <w:jc w:val="left"/>
              <w:rPr/>
            </w:pPr>
            <w:r>
              <w:rPr/>
              <w:t>  </w:t>
            </w:r>
          </w:p>
        </w:tc>
        <w:tc>
          <w:tcPr>
            <w:tcW w:w="9352" w:type="dxa"/>
            <w:tcBorders/>
          </w:tcPr>
          <w:p>
            <w:pPr>
              <w:pStyle w:val="TableContents"/>
              <w:bidi w:val="0"/>
              <w:spacing w:before="0" w:after="283"/>
              <w:jc w:val="left"/>
              <w:rPr/>
            </w:pPr>
            <w:r>
              <w:rPr/>
              <w:t>[Leerink Partners LLC / Cantor Fitzgerald &amp; Co.]</w:t>
            </w:r>
          </w:p>
        </w:tc>
      </w:tr>
      <w:tr>
        <w:trPr/>
        <w:tc>
          <w:tcPr>
            <w:tcW w:w="732" w:type="dxa"/>
            <w:tcBorders/>
          </w:tcPr>
          <w:p>
            <w:pPr>
              <w:pStyle w:val="TableContents"/>
              <w:bidi w:val="0"/>
              <w:spacing w:before="0" w:after="283"/>
              <w:jc w:val="left"/>
              <w:rPr/>
            </w:pPr>
            <w:r>
              <w:rPr/>
              <w:t>Subject:</w:t>
            </w:r>
          </w:p>
        </w:tc>
        <w:tc>
          <w:tcPr>
            <w:tcW w:w="121" w:type="dxa"/>
            <w:tcBorders/>
            <w:vAlign w:val="bottom"/>
          </w:tcPr>
          <w:p>
            <w:pPr>
              <w:pStyle w:val="TableContents"/>
              <w:bidi w:val="0"/>
              <w:spacing w:before="0" w:after="283"/>
              <w:jc w:val="left"/>
              <w:rPr/>
            </w:pPr>
            <w:r>
              <w:rPr/>
              <w:t>  </w:t>
            </w:r>
          </w:p>
        </w:tc>
        <w:tc>
          <w:tcPr>
            <w:tcW w:w="9352" w:type="dxa"/>
            <w:tcBorders/>
          </w:tcPr>
          <w:p>
            <w:pPr>
              <w:pStyle w:val="TableContents"/>
              <w:bidi w:val="0"/>
              <w:spacing w:before="0" w:after="283"/>
              <w:jc w:val="left"/>
              <w:rPr/>
            </w:pPr>
            <w:r>
              <w:rPr/>
              <w:t>[Leerink Partners / Cantor]—At the Market Offering—Placement Notice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Pursuant to the terms and subject to the conditions contained in the Sales Agreement, dated September 1, 2026 (the “</w:t>
      </w:r>
      <w:r>
        <w:rPr>
          <w:rFonts w:ascii="Times New Roman" w:hAnsi="Times New Roman"/>
          <w:b/>
          <w:sz w:val="20"/>
          <w:u w:val="single"/>
        </w:rPr>
        <w:t>Agreement</w:t>
      </w:r>
      <w:r>
        <w:rPr>
          <w:rFonts w:ascii="Times New Roman" w:hAnsi="Times New Roman"/>
          <w:sz w:val="20"/>
        </w:rPr>
        <w:t>”), by and between BridgeBio Oncology Therapeutics, Inc., a Delaware corporation (the “</w:t>
      </w:r>
      <w:r>
        <w:rPr>
          <w:rFonts w:ascii="Times New Roman" w:hAnsi="Times New Roman"/>
          <w:b/>
          <w:sz w:val="20"/>
          <w:u w:val="single"/>
        </w:rPr>
        <w:t>Company</w:t>
      </w:r>
      <w:r>
        <w:rPr>
          <w:rFonts w:ascii="Times New Roman" w:hAnsi="Times New Roman"/>
          <w:sz w:val="20"/>
        </w:rPr>
        <w:t>”), and Leerink Partners LLC (“</w:t>
      </w:r>
      <w:r>
        <w:rPr>
          <w:rFonts w:ascii="Times New Roman" w:hAnsi="Times New Roman"/>
          <w:b/>
          <w:sz w:val="20"/>
          <w:u w:val="single"/>
        </w:rPr>
        <w:t>Leerink Partners</w:t>
      </w:r>
      <w:r>
        <w:rPr>
          <w:rFonts w:ascii="Times New Roman" w:hAnsi="Times New Roman"/>
          <w:sz w:val="20"/>
        </w:rPr>
        <w:t>”) and Cantor Fitzgerald &amp; Co. (“</w:t>
      </w:r>
      <w:r>
        <w:rPr>
          <w:rFonts w:ascii="Times New Roman" w:hAnsi="Times New Roman"/>
          <w:b/>
          <w:sz w:val="20"/>
          <w:u w:val="single"/>
        </w:rPr>
        <w:t>Cantor</w:t>
      </w:r>
      <w:r>
        <w:rPr>
          <w:rFonts w:ascii="Times New Roman" w:hAnsi="Times New Roman"/>
          <w:sz w:val="20"/>
        </w:rPr>
        <w:t>”), I hereby request on behalf of the Company that [Leerink Partners / Cantor] sell up to [ ] shares of common stock, $0.0001 par value per share, of the Company (the “</w:t>
      </w:r>
      <w:r>
        <w:rPr>
          <w:rFonts w:ascii="Times New Roman" w:hAnsi="Times New Roman"/>
          <w:b/>
          <w:sz w:val="20"/>
          <w:u w:val="single"/>
        </w:rPr>
        <w:t>Shares</w:t>
      </w:r>
      <w:r>
        <w:rPr>
          <w:rFonts w:ascii="Times New Roman" w:hAnsi="Times New Roman"/>
          <w:sz w:val="20"/>
        </w:rPr>
        <w:t xml:space="preserve">”), at a minimum market price of $  per share[; </w:t>
      </w:r>
      <w:r>
        <w:rPr>
          <w:rFonts w:ascii="Times New Roman" w:hAnsi="Times New Roman"/>
          <w:i/>
          <w:sz w:val="20"/>
        </w:rPr>
        <w:t>provided</w:t>
      </w:r>
      <w:r>
        <w:rPr>
          <w:rFonts w:ascii="Times New Roman" w:hAnsi="Times New Roman"/>
          <w:sz w:val="20"/>
        </w:rPr>
        <w:t xml:space="preserve"> that no more than [ ] Shares shall be sold in any one Trading Day (as such term is defined in Section 3 of the Agreement)]. Sales should begin [on the date of this Placement Notice] and end on [DATE] [until all Shares that are the subject of this Placement Notice are sold].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Idan Elmelech </w:t>
      </w:r>
    </w:p>
    <w:p>
      <w:pPr>
        <w:pStyle w:val="TextBody"/>
        <w:bidi w:val="0"/>
        <w:spacing w:before="0" w:after="0"/>
        <w:jc w:val="left"/>
        <w:rPr>
          <w:rFonts w:ascii="Times New Roman" w:hAnsi="Times New Roman"/>
          <w:sz w:val="20"/>
        </w:rPr>
      </w:pPr>
      <w:r>
        <w:rPr>
          <w:rFonts w:ascii="Times New Roman" w:hAnsi="Times New Roman"/>
          <w:sz w:val="20"/>
        </w:rPr>
        <w:t xml:space="preserve">Aaron Chan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Leerink Partners </w:t>
      </w:r>
    </w:p>
    <w:p>
      <w:pPr>
        <w:pStyle w:val="TextBody"/>
        <w:bidi w:val="0"/>
        <w:spacing w:before="240" w:after="0"/>
        <w:jc w:val="left"/>
        <w:rPr>
          <w:rFonts w:ascii="Times New Roman" w:hAnsi="Times New Roman"/>
          <w:sz w:val="20"/>
        </w:rPr>
      </w:pPr>
      <w:r>
        <w:rPr>
          <w:rFonts w:ascii="Times New Roman" w:hAnsi="Times New Roman"/>
          <w:sz w:val="20"/>
        </w:rPr>
        <w:t xml:space="preserve">Dan Dubin </w:t>
      </w:r>
    </w:p>
    <w:p>
      <w:pPr>
        <w:pStyle w:val="TextBody"/>
        <w:bidi w:val="0"/>
        <w:spacing w:before="0" w:after="0"/>
        <w:jc w:val="left"/>
        <w:rPr>
          <w:rFonts w:ascii="Times New Roman" w:hAnsi="Times New Roman"/>
          <w:sz w:val="20"/>
        </w:rPr>
      </w:pPr>
      <w:r>
        <w:rPr>
          <w:rFonts w:ascii="Times New Roman" w:hAnsi="Times New Roman"/>
          <w:sz w:val="20"/>
        </w:rPr>
        <w:t xml:space="preserve">Joe Winningham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Cantor </w:t>
      </w:r>
    </w:p>
    <w:p>
      <w:pPr>
        <w:pStyle w:val="TextBody"/>
        <w:bidi w:val="0"/>
        <w:spacing w:before="240" w:after="0"/>
        <w:jc w:val="left"/>
        <w:rPr>
          <w:rFonts w:ascii="Times New Roman" w:hAnsi="Times New Roman"/>
          <w:sz w:val="20"/>
        </w:rPr>
      </w:pPr>
      <w:r>
        <w:rPr>
          <w:rFonts w:ascii="Times New Roman" w:hAnsi="Times New Roman"/>
          <w:sz w:val="20"/>
        </w:rPr>
        <w:t xml:space="preserve">Sameer Vasudev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the Designated Agent compensation in cash equal to 3.0% of the gross proceeds from the sales of Placement Shares pursuant to the terms of the Sales Agreement of which this </w:t>
      </w:r>
      <w:r>
        <w:rPr>
          <w:rFonts w:ascii="Times New Roman" w:hAnsi="Times New Roman"/>
          <w:b/>
          <w:sz w:val="20"/>
          <w:u w:val="single"/>
        </w:rPr>
        <w:t>Schedule 3</w:t>
      </w:r>
      <w:r>
        <w:rPr>
          <w:rFonts w:ascii="Times New Roman" w:hAnsi="Times New Roman"/>
          <w:sz w:val="20"/>
        </w:rPr>
        <w:t xml:space="preserve"> forms a part.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7(m)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OFFICERS’ CERTIFICATE </w:t>
      </w:r>
    </w:p>
    <w:p>
      <w:pPr>
        <w:pStyle w:val="TextBody"/>
        <w:bidi w:val="0"/>
        <w:spacing w:before="240" w:after="0"/>
        <w:jc w:val="left"/>
        <w:rPr>
          <w:rFonts w:ascii="Times New Roman" w:hAnsi="Times New Roman"/>
          <w:sz w:val="20"/>
        </w:rPr>
      </w:pPr>
      <w:r>
        <w:rPr>
          <w:rFonts w:ascii="Times New Roman" w:hAnsi="Times New Roman"/>
          <w:sz w:val="20"/>
        </w:rPr>
        <w:t>Each of [], the duly qualified and elected Chief Executive Officer of BridgeBio Oncology Therapeutics, Inc., a Delaware corporation (the “</w:t>
      </w:r>
      <w:r>
        <w:rPr>
          <w:rFonts w:ascii="Times New Roman" w:hAnsi="Times New Roman"/>
          <w:b/>
          <w:sz w:val="20"/>
          <w:u w:val="single"/>
        </w:rPr>
        <w:t>Company</w:t>
      </w:r>
      <w:r>
        <w:rPr>
          <w:rFonts w:ascii="Times New Roman" w:hAnsi="Times New Roman"/>
          <w:sz w:val="20"/>
        </w:rPr>
        <w:t>”), and [], the duly qualified and elected Chief [Financial/Operating] Officer of the Company, does hereby certify in his respective capacity and on behalf of the Company, pursuant to Section 7(m) of the Sales Agreement, dated September 1, 2026 (the “</w:t>
      </w:r>
      <w:r>
        <w:rPr>
          <w:rFonts w:ascii="Times New Roman" w:hAnsi="Times New Roman"/>
          <w:b/>
          <w:sz w:val="20"/>
          <w:u w:val="single"/>
        </w:rPr>
        <w:t>Sales Agreement</w:t>
      </w:r>
      <w:r>
        <w:rPr>
          <w:rFonts w:ascii="Times New Roman" w:hAnsi="Times New Roman"/>
          <w:sz w:val="20"/>
        </w:rPr>
        <w:t xml:space="preserve">”), by and between the Company and Leerink Partners LLC and Cantor Fitzgerald &amp; Co., that, after due inquiry, to the best of the knowledge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(i) 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has complied with all agreements and satisfied all conditions on its part to be performed or satisfied pursuant to the Sales Agreement at or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(iii) 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and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(iv)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(v) The Company does not possess any material non-public information. </w:t>
      </w:r>
    </w:p>
    <w:p>
      <w:pPr>
        <w:pStyle w:val="TextBody"/>
        <w:bidi w:val="0"/>
        <w:spacing w:before="240" w:after="0"/>
        <w:jc w:val="left"/>
        <w:rPr>
          <w:rFonts w:ascii="Times New Roman" w:hAnsi="Times New Roman"/>
          <w:sz w:val="20"/>
        </w:rPr>
      </w:pPr>
      <w:r>
        <w:rPr>
          <w:rFonts w:ascii="Times New Roman" w:hAnsi="Times New Roman"/>
          <w:sz w:val="20"/>
        </w:rPr>
        <w:t xml:space="preserve">(vi) The maximum amount of Placement Shares that may be sold pursuant to the Sales Agreement has been duly authorized by the Company’s board of directors or a duly authorized committee thereof pursuant to a resolution or unanimous written consent in accordance with the Company’s amended and restated certificate of incorporation, amended and restated bylaws and applicable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Capitalized terms used but not defined herein shall have the meanings ascribed to them in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each of the undersigned, in such individual’s respective capacity as Chief Executive Officer or Chief [Financial/Operating] Officer of the Company, has executed this Officers’ Certificate on behalf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pPr>
            <w:r>
              <w:rPr/>
              <w:t> </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Chief Executive Officer</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Date:</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pBdr>
                <w:bottom w:val="single" w:sz="2" w:space="1" w:color="000000"/>
              </w:pBdr>
              <w:bidi w:val="0"/>
              <w:spacing w:before="0" w:after="20"/>
              <w:jc w:val="left"/>
              <w:rPr/>
            </w:pPr>
            <w:r>
              <w:rPr/>
              <w:t> </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Chief [Financial/Operating] Officer</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Date:</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Company Signature Page to Officers’ Certificate</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35" w:name="d140634dex42.htm"/>
      <w:bookmarkStart w:id="36" w:name="ksd140634dex42"/>
      <w:bookmarkEnd w:id="35"/>
      <w:bookmarkEnd w:id="36"/>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BRIDGEBIO ONCOLOGY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 </w:t>
      </w:r>
    </w:p>
    <w:p>
      <w:pPr>
        <w:pStyle w:val="TextBody"/>
        <w:bidi w:val="0"/>
        <w:spacing w:before="240" w:after="0"/>
        <w:jc w:val="center"/>
        <w:rPr>
          <w:rFonts w:ascii="Times New Roman" w:hAnsi="Times New Roman"/>
          <w:b/>
          <w:sz w:val="20"/>
        </w:rPr>
      </w:pPr>
      <w:r>
        <w:rPr>
          <w:rFonts w:ascii="Times New Roman" w:hAnsi="Times New Roman"/>
          <w:b/>
          <w:sz w:val="20"/>
        </w:rPr>
        <w:t xml:space="preserve">Senior Debt Securities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90"/>
        <w:gridCol w:w="78"/>
        <w:gridCol w:w="8123"/>
        <w:gridCol w:w="135"/>
        <w:gridCol w:w="96"/>
        <w:gridCol w:w="419"/>
        <w:gridCol w:w="64"/>
      </w:tblGrid>
      <w:tr>
        <w:trPr/>
        <w:tc>
          <w:tcPr>
            <w:tcW w:w="1290"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123"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29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283"/>
              <w:jc w:val="left"/>
              <w:rPr/>
            </w:pPr>
            <w:r>
              <w:rPr/>
              <w:t>Article 1 DEFINITIONS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290" w:type="dxa"/>
            <w:tcBorders/>
            <w:vAlign w:val="center"/>
          </w:tcPr>
          <w:p>
            <w:pPr>
              <w:pStyle w:val="TableContents"/>
              <w:bidi w:val="0"/>
              <w:spacing w:before="0" w:after="283"/>
              <w:jc w:val="left"/>
              <w:rPr>
                <w:sz w:val="4"/>
                <w:szCs w:val="4"/>
              </w:rPr>
            </w:pPr>
            <w:r>
              <w:rPr>
                <w:sz w:val="4"/>
                <w:szCs w:val="4"/>
              </w:rPr>
            </w:r>
          </w:p>
        </w:tc>
        <w:tc>
          <w:tcPr>
            <w:tcW w:w="8201"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Definitions of Terms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283"/>
              <w:jc w:val="left"/>
              <w:rPr/>
            </w:pPr>
            <w:r>
              <w:rPr/>
              <w:t>Article 2 ISSUE, DESCRIPTION, TERMS, EXECUTION, REGISTRATION AND EXCHANGE OF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rHeight w:val="120" w:hRule="atLeast"/>
        </w:trPr>
        <w:tc>
          <w:tcPr>
            <w:tcW w:w="1290" w:type="dxa"/>
            <w:tcBorders/>
            <w:vAlign w:val="center"/>
          </w:tcPr>
          <w:p>
            <w:pPr>
              <w:pStyle w:val="TableContents"/>
              <w:bidi w:val="0"/>
              <w:spacing w:before="0" w:after="283"/>
              <w:jc w:val="left"/>
              <w:rPr>
                <w:sz w:val="4"/>
                <w:szCs w:val="4"/>
              </w:rPr>
            </w:pPr>
            <w:r>
              <w:rPr>
                <w:sz w:val="4"/>
                <w:szCs w:val="4"/>
              </w:rPr>
            </w:r>
          </w:p>
        </w:tc>
        <w:tc>
          <w:tcPr>
            <w:tcW w:w="8201"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Designation and Terms of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Form of Securities and Trustee’s Certificate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Denominations: Provisions for Payment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Execution and Authentications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Registration of Transfer and Exchange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Temporary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Mutilated, Destroyed, Lost or Stolen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Cancellation</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Benefits of Indenture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Authenticating Agent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Global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283"/>
              <w:jc w:val="left"/>
              <w:rPr/>
            </w:pPr>
            <w:r>
              <w:rPr/>
              <w:t>Article 3 REDEMPTION OF SECURITIES AND SINKING FUND PROVISIONS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290" w:type="dxa"/>
            <w:tcBorders/>
            <w:vAlign w:val="center"/>
          </w:tcPr>
          <w:p>
            <w:pPr>
              <w:pStyle w:val="TableContents"/>
              <w:bidi w:val="0"/>
              <w:spacing w:before="0" w:after="283"/>
              <w:jc w:val="left"/>
              <w:rPr>
                <w:sz w:val="4"/>
                <w:szCs w:val="4"/>
              </w:rPr>
            </w:pPr>
            <w:r>
              <w:rPr>
                <w:sz w:val="4"/>
                <w:szCs w:val="4"/>
              </w:rPr>
            </w:r>
          </w:p>
        </w:tc>
        <w:tc>
          <w:tcPr>
            <w:tcW w:w="8201"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Redemption</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Notice of Redemption</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Payment Upon Redemption</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Sinking Fund</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Satisfaction of Sinking Fund Payments with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Redemption of Securities for Sinking Fund</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283"/>
              <w:jc w:val="left"/>
              <w:rPr/>
            </w:pPr>
            <w:r>
              <w:rPr/>
              <w:t>Article 4 COVENANTS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120" w:hRule="atLeast"/>
        </w:trPr>
        <w:tc>
          <w:tcPr>
            <w:tcW w:w="1290" w:type="dxa"/>
            <w:tcBorders/>
            <w:vAlign w:val="center"/>
          </w:tcPr>
          <w:p>
            <w:pPr>
              <w:pStyle w:val="TableContents"/>
              <w:bidi w:val="0"/>
              <w:spacing w:before="0" w:after="283"/>
              <w:jc w:val="left"/>
              <w:rPr>
                <w:sz w:val="4"/>
                <w:szCs w:val="4"/>
              </w:rPr>
            </w:pPr>
            <w:r>
              <w:rPr>
                <w:sz w:val="4"/>
                <w:szCs w:val="4"/>
              </w:rPr>
            </w:r>
          </w:p>
        </w:tc>
        <w:tc>
          <w:tcPr>
            <w:tcW w:w="8201"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Payment of Principal, Premium and Interest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Maintenance of Office or Agency</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Paying Agents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Appointment to Fill Vacancy in Office of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Compliance with Consolidation Provisions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283"/>
              <w:jc w:val="left"/>
              <w:rPr/>
            </w:pPr>
            <w:r>
              <w:rPr/>
              <w:t>Article 5 SECURITYHOLDERS’ LISTS AND REPORTS BY THE COMPANY AND THE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1290" w:type="dxa"/>
            <w:tcBorders/>
            <w:vAlign w:val="center"/>
          </w:tcPr>
          <w:p>
            <w:pPr>
              <w:pStyle w:val="TableContents"/>
              <w:bidi w:val="0"/>
              <w:spacing w:before="0" w:after="283"/>
              <w:jc w:val="left"/>
              <w:rPr>
                <w:sz w:val="4"/>
                <w:szCs w:val="4"/>
              </w:rPr>
            </w:pPr>
            <w:r>
              <w:rPr>
                <w:sz w:val="4"/>
                <w:szCs w:val="4"/>
              </w:rPr>
            </w:r>
          </w:p>
        </w:tc>
        <w:tc>
          <w:tcPr>
            <w:tcW w:w="8201"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Company to Furnish Trustee Names and Addresses of Securityholders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Preservation Of Information; Communications With Securityholders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Reports by the Company</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Reports by the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283"/>
              <w:jc w:val="left"/>
              <w:rPr/>
            </w:pPr>
            <w:r>
              <w:rPr/>
              <w:t>Article 6 REMEDIES OF THE TRUSTEE AND SECURITYHOLDERS ON EVENT OF DEFAULT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rHeight w:val="120" w:hRule="atLeast"/>
        </w:trPr>
        <w:tc>
          <w:tcPr>
            <w:tcW w:w="1290" w:type="dxa"/>
            <w:tcBorders/>
            <w:vAlign w:val="center"/>
          </w:tcPr>
          <w:p>
            <w:pPr>
              <w:pStyle w:val="TableContents"/>
              <w:bidi w:val="0"/>
              <w:spacing w:before="0" w:after="283"/>
              <w:jc w:val="left"/>
              <w:rPr>
                <w:sz w:val="4"/>
                <w:szCs w:val="4"/>
              </w:rPr>
            </w:pPr>
            <w:r>
              <w:rPr>
                <w:sz w:val="4"/>
                <w:szCs w:val="4"/>
              </w:rPr>
            </w:r>
          </w:p>
        </w:tc>
        <w:tc>
          <w:tcPr>
            <w:tcW w:w="8201"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Events of Default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Collection of Indebtedness and Suits for Enforcement by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Application of Moneys Collected</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Limitation on Suits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Rights and Remedies Cumulative; Delay or Omission Not Waiver</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Control by Securityholders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Undertaking to Pay Costs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9491" w:type="dxa"/>
            <w:gridSpan w:val="3"/>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9491" w:type="dxa"/>
            <w:gridSpan w:val="3"/>
            <w:tcBorders/>
          </w:tcPr>
          <w:p>
            <w:pPr>
              <w:pStyle w:val="TableContents"/>
              <w:bidi w:val="0"/>
              <w:spacing w:before="0" w:after="283"/>
              <w:jc w:val="left"/>
              <w:rPr/>
            </w:pPr>
            <w:r>
              <w:rPr/>
              <w:t>Article 7 CONCERNING THE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290" w:type="dxa"/>
            <w:tcBorders/>
            <w:vAlign w:val="center"/>
          </w:tcPr>
          <w:p>
            <w:pPr>
              <w:pStyle w:val="TableContents"/>
              <w:bidi w:val="0"/>
              <w:spacing w:before="0" w:after="283"/>
              <w:jc w:val="left"/>
              <w:rPr>
                <w:sz w:val="4"/>
                <w:szCs w:val="4"/>
              </w:rPr>
            </w:pPr>
            <w:r>
              <w:rPr>
                <w:sz w:val="4"/>
                <w:szCs w:val="4"/>
              </w:rPr>
            </w:r>
          </w:p>
        </w:tc>
        <w:tc>
          <w:tcPr>
            <w:tcW w:w="8201" w:type="dxa"/>
            <w:gridSpan w:val="2"/>
            <w:tcBorders/>
            <w:vAlign w:val="center"/>
          </w:tcPr>
          <w:p>
            <w:pPr>
              <w:pStyle w:val="TableContents"/>
              <w:bidi w:val="0"/>
              <w:spacing w:before="0" w:after="283"/>
              <w:jc w:val="left"/>
              <w:rPr>
                <w:sz w:val="4"/>
                <w:szCs w:val="4"/>
              </w:rPr>
            </w:pPr>
            <w:r>
              <w:rPr>
                <w:sz w:val="4"/>
                <w:szCs w:val="4"/>
              </w:rPr>
            </w:r>
          </w:p>
        </w:tc>
        <w:tc>
          <w:tcPr>
            <w:tcW w:w="714" w:type="dxa"/>
            <w:gridSpan w:val="4"/>
            <w:tcBorders/>
            <w:vAlign w:val="center"/>
          </w:tcPr>
          <w:p>
            <w:pPr>
              <w:pStyle w:val="TableContents"/>
              <w:bidi w:val="0"/>
              <w:spacing w:before="0" w:after="283"/>
              <w:jc w:val="left"/>
              <w:rPr>
                <w:sz w:val="4"/>
                <w:szCs w:val="4"/>
              </w:rPr>
            </w:pPr>
            <w:r>
              <w:rPr>
                <w:sz w:val="4"/>
                <w:szCs w:val="4"/>
              </w:rPr>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Certain Duties and Responsibilities of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Certain Rights of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Trustee Not Responsible for Recitals or Issuance or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May Hold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1290"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78"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Moneys Held in Trust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of Contents does not constitute part of the Indenture and shall not have any bearing on the interpretation of any of its terms or provisions.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46"/>
        <w:gridCol w:w="82"/>
        <w:gridCol w:w="7960"/>
        <w:gridCol w:w="139"/>
        <w:gridCol w:w="96"/>
        <w:gridCol w:w="419"/>
        <w:gridCol w:w="63"/>
      </w:tblGrid>
      <w:tr>
        <w:trPr/>
        <w:tc>
          <w:tcPr>
            <w:tcW w:w="1446"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79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4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1446" w:type="dxa"/>
            <w:tcBorders/>
            <w:vAlign w:val="center"/>
          </w:tcPr>
          <w:p>
            <w:pPr>
              <w:pStyle w:val="TableContents"/>
              <w:bidi w:val="0"/>
              <w:spacing w:before="0" w:after="283"/>
              <w:jc w:val="left"/>
              <w:rPr>
                <w:sz w:val="4"/>
                <w:szCs w:val="4"/>
              </w:rPr>
            </w:pPr>
            <w:r>
              <w:rPr>
                <w:sz w:val="4"/>
                <w:szCs w:val="4"/>
              </w:rPr>
            </w:r>
          </w:p>
        </w:tc>
        <w:tc>
          <w:tcPr>
            <w:tcW w:w="8042"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Compensation and Reimbursement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Reliance on Officer’s Certificate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Disqualification; Conflicting Interests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Corporate Trustee Required; Eligibility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Resignation and Removal; Appointment of Successor</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Acceptance of Appointment By Successor</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Merger, Conversion, Consolidation or Succession to Business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Preferential Collection of Claims Against the Company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Notice of Default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283"/>
              <w:jc w:val="left"/>
              <w:rPr/>
            </w:pPr>
            <w:r>
              <w:rPr/>
              <w:t>Article 8 CONCERNING THE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446" w:type="dxa"/>
            <w:tcBorders/>
            <w:vAlign w:val="center"/>
          </w:tcPr>
          <w:p>
            <w:pPr>
              <w:pStyle w:val="TableContents"/>
              <w:bidi w:val="0"/>
              <w:spacing w:before="0" w:after="283"/>
              <w:jc w:val="left"/>
              <w:rPr>
                <w:sz w:val="4"/>
                <w:szCs w:val="4"/>
              </w:rPr>
            </w:pPr>
            <w:r>
              <w:rPr>
                <w:sz w:val="4"/>
                <w:szCs w:val="4"/>
              </w:rPr>
            </w:r>
          </w:p>
        </w:tc>
        <w:tc>
          <w:tcPr>
            <w:tcW w:w="8042"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Evidence of Action by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Proof of Execution by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Who May be Deemed Owners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Certain Securities Owned by Company Disregarded</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Actions Binding on Future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283"/>
              <w:jc w:val="left"/>
              <w:rPr/>
            </w:pPr>
            <w:r>
              <w:rPr/>
              <w:t>Article 9 SUPPLEMENTAL INDENTURES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446" w:type="dxa"/>
            <w:tcBorders/>
            <w:vAlign w:val="center"/>
          </w:tcPr>
          <w:p>
            <w:pPr>
              <w:pStyle w:val="TableContents"/>
              <w:bidi w:val="0"/>
              <w:spacing w:before="0" w:after="283"/>
              <w:jc w:val="left"/>
              <w:rPr>
                <w:sz w:val="4"/>
                <w:szCs w:val="4"/>
              </w:rPr>
            </w:pPr>
            <w:r>
              <w:rPr>
                <w:sz w:val="4"/>
                <w:szCs w:val="4"/>
              </w:rPr>
            </w:r>
          </w:p>
        </w:tc>
        <w:tc>
          <w:tcPr>
            <w:tcW w:w="8042"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Supplemental Indentures Without the Consent of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Supplemental Indentures With Consent of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Effect of Supplemental Indentures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Securities Affected by Supplemental Indentures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Execution of Supplemental Indentures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283"/>
              <w:jc w:val="left"/>
              <w:rPr/>
            </w:pPr>
            <w:r>
              <w:rPr/>
              <w:t>Article 10 SUCCESSOR ENTITY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1446" w:type="dxa"/>
            <w:tcBorders/>
            <w:vAlign w:val="center"/>
          </w:tcPr>
          <w:p>
            <w:pPr>
              <w:pStyle w:val="TableContents"/>
              <w:bidi w:val="0"/>
              <w:spacing w:before="0" w:after="283"/>
              <w:jc w:val="left"/>
              <w:rPr>
                <w:sz w:val="4"/>
                <w:szCs w:val="4"/>
              </w:rPr>
            </w:pPr>
            <w:r>
              <w:rPr>
                <w:sz w:val="4"/>
                <w:szCs w:val="4"/>
              </w:rPr>
            </w:r>
          </w:p>
        </w:tc>
        <w:tc>
          <w:tcPr>
            <w:tcW w:w="8042"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Company May Consolidate, Etc</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Successor Entity Substituted</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283"/>
              <w:jc w:val="left"/>
              <w:rPr/>
            </w:pPr>
            <w:r>
              <w:rPr/>
              <w:t>Article 11 SATISFACTION AND DISCHARGE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446" w:type="dxa"/>
            <w:tcBorders/>
            <w:vAlign w:val="center"/>
          </w:tcPr>
          <w:p>
            <w:pPr>
              <w:pStyle w:val="TableContents"/>
              <w:bidi w:val="0"/>
              <w:spacing w:before="0" w:after="283"/>
              <w:jc w:val="left"/>
              <w:rPr>
                <w:sz w:val="4"/>
                <w:szCs w:val="4"/>
              </w:rPr>
            </w:pPr>
            <w:r>
              <w:rPr>
                <w:sz w:val="4"/>
                <w:szCs w:val="4"/>
              </w:rPr>
            </w:r>
          </w:p>
        </w:tc>
        <w:tc>
          <w:tcPr>
            <w:tcW w:w="8042"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Satisfaction and Discharge of Indenture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Discharge of Obligations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Deposited Moneys to be Held in Trust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Payment of Moneys Held by Paying Agents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Repayment to Company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283"/>
              <w:jc w:val="left"/>
              <w:rPr/>
            </w:pPr>
            <w:r>
              <w:rPr/>
              <w:t>Article 12 IMMUNITY OF INCORPORATORS, STOCKHOLDERS, OFFICERS AND DIRECTORS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446" w:type="dxa"/>
            <w:tcBorders/>
            <w:vAlign w:val="center"/>
          </w:tcPr>
          <w:p>
            <w:pPr>
              <w:pStyle w:val="TableContents"/>
              <w:bidi w:val="0"/>
              <w:spacing w:before="0" w:after="283"/>
              <w:jc w:val="left"/>
              <w:rPr>
                <w:sz w:val="4"/>
                <w:szCs w:val="4"/>
              </w:rPr>
            </w:pPr>
            <w:r>
              <w:rPr>
                <w:sz w:val="4"/>
                <w:szCs w:val="4"/>
              </w:rPr>
            </w:r>
          </w:p>
        </w:tc>
        <w:tc>
          <w:tcPr>
            <w:tcW w:w="8042"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No Recourse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283"/>
              <w:jc w:val="left"/>
              <w:rPr/>
            </w:pPr>
            <w:r>
              <w:rPr/>
              <w:t>Article 13 MISCELLANEOUS PROVISIONS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446" w:type="dxa"/>
            <w:tcBorders/>
            <w:vAlign w:val="center"/>
          </w:tcPr>
          <w:p>
            <w:pPr>
              <w:pStyle w:val="TableContents"/>
              <w:bidi w:val="0"/>
              <w:spacing w:before="0" w:after="283"/>
              <w:jc w:val="left"/>
              <w:rPr>
                <w:sz w:val="4"/>
                <w:szCs w:val="4"/>
              </w:rPr>
            </w:pPr>
            <w:r>
              <w:rPr>
                <w:sz w:val="4"/>
                <w:szCs w:val="4"/>
              </w:rPr>
            </w:r>
          </w:p>
        </w:tc>
        <w:tc>
          <w:tcPr>
            <w:tcW w:w="8042"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Effect on Successors and Assigns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Actions by Successor</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Surrender of Company Powers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Notices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Governing Law</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Treatment of Securities as Debt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Certificates and Opinions as to Conditions Precedent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Payments on Business Days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46"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82" w:type="dxa"/>
            <w:tcBorders/>
            <w:vAlign w:val="bottom"/>
          </w:tcPr>
          <w:p>
            <w:pPr>
              <w:pStyle w:val="TableContents"/>
              <w:bidi w:val="0"/>
              <w:spacing w:before="0" w:after="283"/>
              <w:jc w:val="left"/>
              <w:rPr/>
            </w:pPr>
            <w:r>
              <w:rPr/>
              <w:t> </w:t>
            </w:r>
          </w:p>
        </w:tc>
        <w:tc>
          <w:tcPr>
            <w:tcW w:w="7960" w:type="dxa"/>
            <w:tcBorders/>
            <w:vAlign w:val="bottom"/>
          </w:tcPr>
          <w:p>
            <w:pPr>
              <w:pStyle w:val="TableContents"/>
              <w:bidi w:val="0"/>
              <w:spacing w:before="0" w:after="283"/>
              <w:jc w:val="left"/>
              <w:rPr/>
            </w:pPr>
            <w:r>
              <w:rPr/>
              <w:t>Conflict with Trust Indenture Act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57"/>
        <w:gridCol w:w="116"/>
        <w:gridCol w:w="7687"/>
        <w:gridCol w:w="160"/>
        <w:gridCol w:w="60"/>
        <w:gridCol w:w="261"/>
        <w:gridCol w:w="64"/>
      </w:tblGrid>
      <w:tr>
        <w:trPr/>
        <w:tc>
          <w:tcPr>
            <w:tcW w:w="1857"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7687"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5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16" w:type="dxa"/>
            <w:tcBorders/>
            <w:vAlign w:val="bottom"/>
          </w:tcPr>
          <w:p>
            <w:pPr>
              <w:pStyle w:val="TableContents"/>
              <w:bidi w:val="0"/>
              <w:spacing w:before="0" w:after="283"/>
              <w:jc w:val="left"/>
              <w:rPr/>
            </w:pPr>
            <w:r>
              <w:rPr/>
              <w:t> </w:t>
            </w:r>
          </w:p>
        </w:tc>
        <w:tc>
          <w:tcPr>
            <w:tcW w:w="7687" w:type="dxa"/>
            <w:tcBorders/>
            <w:vAlign w:val="bottom"/>
          </w:tcPr>
          <w:p>
            <w:pPr>
              <w:pStyle w:val="TableContents"/>
              <w:bidi w:val="0"/>
              <w:spacing w:before="0" w:after="283"/>
              <w:jc w:val="left"/>
              <w:rPr/>
            </w:pPr>
            <w:r>
              <w:rPr/>
              <w:t>Counterparts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85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16" w:type="dxa"/>
            <w:tcBorders/>
            <w:vAlign w:val="bottom"/>
          </w:tcPr>
          <w:p>
            <w:pPr>
              <w:pStyle w:val="TableContents"/>
              <w:bidi w:val="0"/>
              <w:spacing w:before="0" w:after="283"/>
              <w:jc w:val="left"/>
              <w:rPr/>
            </w:pPr>
            <w:r>
              <w:rPr/>
              <w:t> </w:t>
            </w:r>
          </w:p>
        </w:tc>
        <w:tc>
          <w:tcPr>
            <w:tcW w:w="7687" w:type="dxa"/>
            <w:tcBorders/>
            <w:vAlign w:val="bottom"/>
          </w:tcPr>
          <w:p>
            <w:pPr>
              <w:pStyle w:val="TableContents"/>
              <w:bidi w:val="0"/>
              <w:spacing w:before="0" w:after="283"/>
              <w:jc w:val="left"/>
              <w:rPr/>
            </w:pPr>
            <w:r>
              <w:rPr/>
              <w:t>Separability</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1857"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16" w:type="dxa"/>
            <w:tcBorders/>
            <w:vAlign w:val="bottom"/>
          </w:tcPr>
          <w:p>
            <w:pPr>
              <w:pStyle w:val="TableContents"/>
              <w:bidi w:val="0"/>
              <w:spacing w:before="0" w:after="283"/>
              <w:jc w:val="left"/>
              <w:rPr/>
            </w:pPr>
            <w:r>
              <w:rPr/>
              <w:t> </w:t>
            </w:r>
          </w:p>
        </w:tc>
        <w:tc>
          <w:tcPr>
            <w:tcW w:w="7687" w:type="dxa"/>
            <w:tcBorders/>
            <w:vAlign w:val="bottom"/>
          </w:tcPr>
          <w:p>
            <w:pPr>
              <w:pStyle w:val="TableContents"/>
              <w:bidi w:val="0"/>
              <w:spacing w:before="0" w:after="283"/>
              <w:jc w:val="left"/>
              <w:rPr/>
            </w:pPr>
            <w:r>
              <w:rPr/>
              <w:t>Compliance Certificates</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xml:space="preserve"> dated as of [    ], among </w:t>
      </w:r>
      <w:r>
        <w:rPr>
          <w:rFonts w:ascii="Times New Roman" w:hAnsi="Times New Roman"/>
          <w:b/>
          <w:sz w:val="20"/>
        </w:rPr>
        <w:t>BRIDGEBIO ONCOLOGY THERAPEUTICS, INC.,</w:t>
      </w:r>
      <w:r>
        <w:rPr>
          <w:rFonts w:ascii="Times New Roman" w:hAnsi="Times New Roman"/>
          <w:sz w:val="20"/>
        </w:rPr>
        <w:t xml:space="preserve"> a Delaware corporation (the “Company”), and [</w:t>
      </w:r>
      <w:r>
        <w:rPr>
          <w:rFonts w:ascii="Times New Roman" w:hAnsi="Times New Roman"/>
          <w:b/>
          <w:sz w:val="20"/>
        </w:rPr>
        <w:t>TRUSTEE</w:t>
      </w:r>
      <w:r>
        <w:rPr>
          <w:rFonts w:ascii="Times New Roman" w:hAnsi="Times New Roman"/>
          <w:sz w:val="20"/>
        </w:rPr>
        <w:t>]</w:t>
      </w:r>
      <w:r>
        <w:rPr>
          <w:rFonts w:ascii="Times New Roman" w:hAnsi="Times New Roman"/>
          <w:b/>
          <w:sz w:val="20"/>
        </w:rPr>
        <w:t>,</w:t>
      </w:r>
      <w:r>
        <w:rPr>
          <w:rFonts w:ascii="Times New Roman" w:hAnsi="Times New Roman"/>
          <w:sz w:val="20"/>
        </w:rPr>
        <w:t xml:space="preserve"> as trustee (the “Trustee”):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 of Terms</w:t>
      </w:r>
      <w:r>
        <w:rPr>
          <w:rFonts w:ascii="Times New Roman" w:hAnsi="Times New Roman"/>
          <w:sz w:val="20"/>
        </w:rPr>
        <w:t xml:space="preserve">. The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b/>
          <w:i/>
          <w:sz w:val="20"/>
        </w:rPr>
        <w:t>Authenticating Agent</w:t>
      </w:r>
      <w:r>
        <w:rPr>
          <w:rFonts w:ascii="Times New Roman" w:hAnsi="Times New Roman"/>
          <w:sz w:val="20"/>
        </w:rPr>
        <w:t xml:space="preserve">” means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b/>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b/>
          <w:i/>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240" w:after="0"/>
        <w:jc w:val="left"/>
        <w:rPr/>
      </w:pPr>
      <w:r>
        <w:rPr/>
        <w:t>“</w:t>
      </w:r>
      <w:r>
        <w:rPr>
          <w:rFonts w:ascii="Times New Roman" w:hAnsi="Times New Roman"/>
          <w:b/>
          <w:i/>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pPr>
      <w:r>
        <w:rPr/>
        <w:t>“</w:t>
      </w:r>
      <w:r>
        <w:rPr>
          <w:rFonts w:ascii="Times New Roman" w:hAnsi="Times New Roman"/>
          <w:b/>
          <w:i/>
          <w:sz w:val="20"/>
        </w:rPr>
        <w:t>Certificate</w:t>
      </w:r>
      <w:r>
        <w:rPr>
          <w:rFonts w:ascii="Times New Roman" w:hAnsi="Times New Roman"/>
          <w:sz w:val="20"/>
        </w:rPr>
        <w:t xml:space="preserve">” means a certificate signed by any Officer. The Certificate need not comply with the provisions of Section 13.07.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w:t>
      </w:r>
      <w:r>
        <w:rPr>
          <w:rFonts w:ascii="Times New Roman" w:hAnsi="Times New Roman"/>
          <w:sz w:val="20"/>
        </w:rPr>
        <w:t xml:space="preserve">” means BridgeBio Oncology Therapeutics, Inc., a corporation duly organized and existing under the laws of the State of Delaware, and, subject to the provisions of Article Ten, shall also include its successors and assigns. </w:t>
      </w:r>
    </w:p>
    <w:p>
      <w:pPr>
        <w:pStyle w:val="TextBody"/>
        <w:bidi w:val="0"/>
        <w:spacing w:before="240" w:after="0"/>
        <w:jc w:val="left"/>
        <w:rPr/>
      </w:pPr>
      <w:r>
        <w:rPr/>
        <w:t>“</w:t>
      </w:r>
      <w:r>
        <w:rPr>
          <w:rFonts w:ascii="Times New Roman" w:hAnsi="Times New Roman"/>
          <w:b/>
          <w:i/>
          <w:sz w:val="20"/>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hereof is located at [    ]. </w:t>
      </w:r>
    </w:p>
    <w:p>
      <w:pPr>
        <w:pStyle w:val="TextBody"/>
        <w:bidi w:val="0"/>
        <w:spacing w:before="240" w:after="0"/>
        <w:jc w:val="left"/>
        <w:rPr/>
      </w:pPr>
      <w:r>
        <w:rPr/>
        <w:t>“</w:t>
      </w:r>
      <w:r>
        <w:rPr>
          <w:rFonts w:ascii="Times New Roman" w:hAnsi="Times New Roman"/>
          <w:b/>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pPr>
      <w:r>
        <w:rPr/>
        <w:t>“</w:t>
      </w:r>
      <w:r>
        <w:rPr>
          <w:rFonts w:ascii="Times New Roman" w:hAnsi="Times New Roman"/>
          <w:b/>
          <w:i/>
          <w:sz w:val="20"/>
        </w:rPr>
        <w:t>Defaulted Interest</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pPr>
      <w:r>
        <w:rPr/>
        <w:t>“</w:t>
      </w:r>
      <w:r>
        <w:rPr>
          <w:rFonts w:ascii="Times New Roman" w:hAnsi="Times New Roman"/>
          <w:b/>
          <w:i/>
          <w:sz w:val="20"/>
        </w:rPr>
        <w:t>Event of Default</w:t>
      </w:r>
      <w:r>
        <w:rPr>
          <w:rFonts w:ascii="Times New Roman" w:hAnsi="Times New Roman"/>
          <w:sz w:val="20"/>
        </w:rPr>
        <w:t xml:space="preserve">” means, with respect to Securities of a particular series, any event specified in Section 6.01, continued for the period of time, if any, therein designated.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pPr>
      <w:r>
        <w:rPr/>
        <w:t>“</w:t>
      </w:r>
      <w:r>
        <w:rPr>
          <w:rFonts w:ascii="Times New Roman" w:hAnsi="Times New Roman"/>
          <w:b/>
          <w:i/>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b/>
          <w:i/>
          <w:sz w:val="20"/>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b/>
          <w:i/>
          <w:sz w:val="20"/>
        </w:rPr>
        <w:t>herein</w:t>
      </w:r>
      <w:r>
        <w:rPr>
          <w:rFonts w:ascii="Times New Roman" w:hAnsi="Times New Roman"/>
          <w:sz w:val="20"/>
        </w:rPr>
        <w:t>”, “</w:t>
      </w:r>
      <w:r>
        <w:rPr>
          <w:rFonts w:ascii="Times New Roman" w:hAnsi="Times New Roman"/>
          <w:b/>
          <w:i/>
          <w:sz w:val="20"/>
        </w:rPr>
        <w:t>hereof</w:t>
      </w:r>
      <w:r>
        <w:rPr>
          <w:rFonts w:ascii="Times New Roman" w:hAnsi="Times New Roman"/>
          <w:sz w:val="20"/>
        </w:rPr>
        <w:t>” and “</w:t>
      </w:r>
      <w:r>
        <w:rPr>
          <w:rFonts w:ascii="Times New Roman" w:hAnsi="Times New Roman"/>
          <w:b/>
          <w:i/>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b/>
          <w:i/>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240" w:after="0"/>
        <w:jc w:val="left"/>
        <w:rPr/>
      </w:pPr>
      <w:r>
        <w:rPr/>
        <w:t>“</w:t>
      </w:r>
      <w:r>
        <w:rPr>
          <w:rFonts w:ascii="Times New Roman" w:hAnsi="Times New Roman"/>
          <w:b/>
          <w:i/>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pPr>
      <w:r>
        <w:rPr/>
        <w:t>“</w:t>
      </w:r>
      <w:r>
        <w:rPr>
          <w:rFonts w:ascii="Times New Roman" w:hAnsi="Times New Roman"/>
          <w:b/>
          <w:i/>
          <w:sz w:val="20"/>
        </w:rPr>
        <w:t>Officer’s Certificate</w:t>
      </w:r>
      <w:r>
        <w:rPr>
          <w:rFonts w:ascii="Times New Roman" w:hAnsi="Times New Roman"/>
          <w:sz w:val="20"/>
        </w:rPr>
        <w:t xml:space="preserve">” means a certificate signed by any Officer. Each such certificate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Outstanding</w:t>
      </w:r>
      <w:r>
        <w:rPr>
          <w:rFonts w:ascii="Times New Roman" w:hAnsi="Times New Roman"/>
          <w:sz w:val="20"/>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pPr>
      <w:r>
        <w:rPr/>
        <w:t>“</w:t>
      </w:r>
      <w:r>
        <w:rPr>
          <w:rFonts w:ascii="Times New Roman" w:hAnsi="Times New Roman"/>
          <w:b/>
          <w:i/>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b/>
          <w:i/>
          <w:sz w:val="20"/>
        </w:rPr>
        <w:t>Responsible Officer</w:t>
      </w:r>
      <w:r>
        <w:rPr>
          <w:rFonts w:ascii="Times New Roman" w:hAnsi="Times New Roman"/>
          <w:sz w:val="20"/>
        </w:rPr>
        <w:t xml:space="preserve">” when used with respect to the Trustee means any officer of the Trustee assigned by the Trustee to administer its corporate trust matters with respect to this Indenture (which, for the avoidance of doubt, includes without limitation any supplemental indenture hereto). </w:t>
      </w:r>
    </w:p>
    <w:p>
      <w:pPr>
        <w:pStyle w:val="TextBody"/>
        <w:bidi w:val="0"/>
        <w:spacing w:before="240" w:after="0"/>
        <w:jc w:val="left"/>
        <w:rPr/>
      </w:pPr>
      <w:r>
        <w:rPr/>
        <w:t>“</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i/>
          <w:sz w:val="20"/>
        </w:rPr>
        <w:t>Securityholder</w:t>
      </w:r>
      <w:r>
        <w:rPr>
          <w:rFonts w:ascii="Times New Roman" w:hAnsi="Times New Roman"/>
          <w:sz w:val="20"/>
        </w:rPr>
        <w:t>”, “</w:t>
      </w:r>
      <w:r>
        <w:rPr>
          <w:rFonts w:ascii="Times New Roman" w:hAnsi="Times New Roman"/>
          <w:b/>
          <w:i/>
          <w:sz w:val="20"/>
        </w:rPr>
        <w:t>holder of Securities</w:t>
      </w:r>
      <w:r>
        <w:rPr>
          <w:rFonts w:ascii="Times New Roman" w:hAnsi="Times New Roman"/>
          <w:sz w:val="20"/>
        </w:rPr>
        <w:t>”, “</w:t>
      </w:r>
      <w:r>
        <w:rPr>
          <w:rFonts w:ascii="Times New Roman" w:hAnsi="Times New Roman"/>
          <w:b/>
          <w:i/>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240" w:after="0"/>
        <w:jc w:val="left"/>
        <w:rPr/>
      </w:pPr>
      <w:r>
        <w:rPr/>
        <w:t>“</w:t>
      </w:r>
      <w:r>
        <w:rPr>
          <w:rFonts w:ascii="Times New Roman" w:hAnsi="Times New Roman"/>
          <w:b/>
          <w:i/>
          <w:sz w:val="20"/>
        </w:rPr>
        <w:t>Security Register</w:t>
      </w:r>
      <w:r>
        <w:rPr>
          <w:rFonts w:ascii="Times New Roman" w:hAnsi="Times New Roman"/>
          <w:sz w:val="20"/>
        </w:rPr>
        <w:t>” and “</w:t>
      </w:r>
      <w:r>
        <w:rPr>
          <w:rFonts w:ascii="Times New Roman" w:hAnsi="Times New Roman"/>
          <w:b/>
          <w:i/>
          <w:sz w:val="20"/>
        </w:rPr>
        <w:t>Security Registrar</w:t>
      </w:r>
      <w:r>
        <w:rPr>
          <w:rFonts w:ascii="Times New Roman" w:hAnsi="Times New Roman"/>
          <w:sz w:val="20"/>
        </w:rPr>
        <w:t xml:space="preserve">” shall have the meanings as set forth in Section 2.05.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(1) any corporation or company a majority of whose capital stock with voting power, under ordinary circumstances, to elect directors is, at the date of determination, directly or indirectly, owned by such Person (a “subsidiary”), by one or more subsidiaries of such Person or by such Person and one or more subsidiaries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 partnership in which such Person or a subsidiary of such Person is, at the date of determination, a general partner of such partnership; or </w:t>
      </w:r>
    </w:p>
    <w:p>
      <w:pPr>
        <w:pStyle w:val="TextBody"/>
        <w:bidi w:val="0"/>
        <w:spacing w:before="240" w:after="0"/>
        <w:jc w:val="left"/>
        <w:rPr>
          <w:rFonts w:ascii="Times New Roman" w:hAnsi="Times New Roman"/>
          <w:sz w:val="20"/>
        </w:rPr>
      </w:pPr>
      <w:r>
        <w:rPr>
          <w:rFonts w:ascii="Times New Roman" w:hAnsi="Times New Roman"/>
          <w:sz w:val="20"/>
        </w:rPr>
        <w:t xml:space="preserve">(3) 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 </w:t>
      </w:r>
    </w:p>
    <w:p>
      <w:pPr>
        <w:pStyle w:val="TextBody"/>
        <w:bidi w:val="0"/>
        <w:spacing w:before="240" w:after="0"/>
        <w:jc w:val="left"/>
        <w:rPr/>
      </w:pPr>
      <w:r>
        <w:rPr/>
        <w:t>“</w:t>
      </w:r>
      <w:r>
        <w:rPr>
          <w:rFonts w:ascii="Times New Roman" w:hAnsi="Times New Roman"/>
          <w:b/>
          <w:i/>
          <w:sz w:val="20"/>
        </w:rPr>
        <w:t>Trustee</w:t>
      </w:r>
      <w:r>
        <w:rPr>
          <w:rFonts w:ascii="Times New Roman" w:hAnsi="Times New Roman"/>
          <w:sz w:val="20"/>
        </w:rPr>
        <w:t>” means [</w:t>
      </w:r>
      <w:r>
        <w:rPr>
          <w:rFonts w:ascii="Times New Roman" w:hAnsi="Times New Roman"/>
          <w:b/>
          <w:sz w:val="20"/>
        </w:rPr>
        <w:t>TRUSTEE</w:t>
      </w:r>
      <w:r>
        <w:rPr>
          <w:rFonts w:ascii="Times New Roman" w:hAnsi="Times New Roman"/>
          <w:sz w:val="20"/>
        </w:rPr>
        <w:t xml:space="preserve">], and, subject to the provisions of Article Seven, shall also include its successors and assigns, and, if at any time there is more than one Person acting in such capacity hereunder, “Trustee” shall mean each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b/>
          <w:i/>
          <w:sz w:val="20"/>
        </w:rPr>
        <w:t>Trust Indenture Act</w:t>
      </w:r>
      <w:r>
        <w:rPr>
          <w:rFonts w:ascii="Times New Roman" w:hAnsi="Times New Roman"/>
          <w:sz w:val="20"/>
        </w:rPr>
        <w:t xml:space="preserve">” means the Trust Indenture Act of 1939, as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ISSUE, DESCRIPTION, TERMS, EXECUTION, REGISTRATION AND EXCHANGE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sz w:val="20"/>
        </w:rPr>
        <w:t xml:space="preserve">(a) the title of the Securities of the series (which shall distinguish the Securities of that series from all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(b) 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(c) the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(d)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(e) the rate or rates at which the Securities of the series shall bear interest or the manner of calculation of such rate or rates, if any; </w:t>
      </w:r>
    </w:p>
    <w:p>
      <w:pPr>
        <w:pStyle w:val="TextBody"/>
        <w:bidi w:val="0"/>
        <w:spacing w:before="240" w:after="0"/>
        <w:jc w:val="left"/>
        <w:rPr>
          <w:rFonts w:ascii="Times New Roman" w:hAnsi="Times New Roman"/>
          <w:sz w:val="20"/>
        </w:rPr>
      </w:pPr>
      <w:r>
        <w:rPr>
          <w:rFonts w:ascii="Times New Roman" w:hAnsi="Times New Roman"/>
          <w:sz w:val="20"/>
        </w:rPr>
        <w:t xml:space="preserve">(f)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right, if any, to extend the interest payment periods and the duration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(h) the period or periods within which, the price or prices at which and the terms and conditions upon which Securities of the series may be redeemed, converted or exchanged,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(i)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(j) 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sz w:val="20"/>
        </w:rPr>
        <w:t xml:space="preserve">(k) if other than denominations of one thousand U.S. dollars ($1,000) or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(l)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(m)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(n) 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 </w:t>
      </w:r>
    </w:p>
    <w:p>
      <w:pPr>
        <w:pStyle w:val="TextBody"/>
        <w:bidi w:val="0"/>
        <w:spacing w:before="240" w:after="0"/>
        <w:jc w:val="left"/>
        <w:rPr>
          <w:rFonts w:ascii="Times New Roman" w:hAnsi="Times New Roman"/>
          <w:sz w:val="20"/>
        </w:rPr>
      </w:pPr>
      <w:r>
        <w:rPr>
          <w:rFonts w:ascii="Times New Roman" w:hAnsi="Times New Roman"/>
          <w:sz w:val="20"/>
        </w:rPr>
        <w:t xml:space="preserve">(o) 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240" w:after="0"/>
        <w:jc w:val="left"/>
        <w:rPr>
          <w:rFonts w:ascii="Times New Roman" w:hAnsi="Times New Roman"/>
          <w:sz w:val="20"/>
        </w:rPr>
      </w:pPr>
      <w:r>
        <w:rPr>
          <w:rFonts w:ascii="Times New Roman" w:hAnsi="Times New Roman"/>
          <w:sz w:val="20"/>
        </w:rPr>
        <w:t xml:space="preserve">(p) any additional or alternative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(q) 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 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 </w:t>
      </w:r>
    </w:p>
    <w:p>
      <w:pPr>
        <w:pStyle w:val="TextBody"/>
        <w:bidi w:val="0"/>
        <w:spacing w:before="240" w:after="0"/>
        <w:jc w:val="left"/>
        <w:rPr>
          <w:rFonts w:ascii="Times New Roman" w:hAnsi="Times New Roman"/>
          <w:sz w:val="20"/>
        </w:rPr>
      </w:pPr>
      <w:r>
        <w:rPr>
          <w:rFonts w:ascii="Times New Roman" w:hAnsi="Times New Roman"/>
          <w:sz w:val="20"/>
        </w:rPr>
        <w:t xml:space="preserve">(s) 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 </w:t>
      </w:r>
    </w:p>
    <w:p>
      <w:pPr>
        <w:pStyle w:val="TextBody"/>
        <w:bidi w:val="0"/>
        <w:spacing w:before="240" w:after="0"/>
        <w:jc w:val="left"/>
        <w:rPr>
          <w:rFonts w:ascii="Times New Roman" w:hAnsi="Times New Roman"/>
          <w:sz w:val="20"/>
        </w:rPr>
      </w:pPr>
      <w:r>
        <w:rPr>
          <w:rFonts w:ascii="Times New Roman" w:hAnsi="Times New Roman"/>
          <w:sz w:val="20"/>
        </w:rPr>
        <w:t xml:space="preserve">(t) whether interest will be payable in cash or additional Securities at the Company’s or the Securityholders’ option and the terms and conditions upon which the election may be made; </w:t>
      </w:r>
    </w:p>
    <w:p>
      <w:pPr>
        <w:pStyle w:val="TextBody"/>
        <w:bidi w:val="0"/>
        <w:spacing w:before="240" w:after="0"/>
        <w:jc w:val="left"/>
        <w:rPr>
          <w:rFonts w:ascii="Times New Roman" w:hAnsi="Times New Roman"/>
          <w:sz w:val="20"/>
        </w:rPr>
      </w:pPr>
      <w:r>
        <w:rPr>
          <w:rFonts w:ascii="Times New Roman" w:hAnsi="Times New Roman"/>
          <w:sz w:val="20"/>
        </w:rPr>
        <w:t xml:space="preserve">(u)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240" w:after="0"/>
        <w:jc w:val="left"/>
        <w:rPr>
          <w:rFonts w:ascii="Times New Roman" w:hAnsi="Times New Roman"/>
          <w:sz w:val="20"/>
        </w:rPr>
      </w:pPr>
      <w:r>
        <w:rPr>
          <w:rFonts w:ascii="Times New Roman" w:hAnsi="Times New Roman"/>
          <w:sz w:val="20"/>
        </w:rPr>
        <w:t xml:space="preserve">(v) additional or alternative provisions, if any, related to defeasance and discharge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 the applicability of any guarantees; </w:t>
      </w:r>
    </w:p>
    <w:p>
      <w:pPr>
        <w:pStyle w:val="TextBody"/>
        <w:bidi w:val="0"/>
        <w:spacing w:before="240" w:after="0"/>
        <w:jc w:val="left"/>
        <w:rPr>
          <w:rFonts w:ascii="Times New Roman" w:hAnsi="Times New Roman"/>
          <w:sz w:val="20"/>
        </w:rPr>
      </w:pPr>
      <w:r>
        <w:rPr>
          <w:rFonts w:ascii="Times New Roman" w:hAnsi="Times New Roman"/>
          <w:sz w:val="20"/>
        </w:rPr>
        <w:t xml:space="preserve">(x) any restrictions on transfer, sale or assignment of the Securities of the series; and </w:t>
      </w:r>
    </w:p>
    <w:p>
      <w:pPr>
        <w:pStyle w:val="TextBody"/>
        <w:bidi w:val="0"/>
        <w:spacing w:before="240" w:after="0"/>
        <w:jc w:val="left"/>
        <w:rPr>
          <w:rFonts w:ascii="Times New Roman" w:hAnsi="Times New Roman"/>
          <w:sz w:val="20"/>
        </w:rPr>
      </w:pPr>
      <w:r>
        <w:rPr>
          <w:rFonts w:ascii="Times New Roman" w:hAnsi="Times New Roman"/>
          <w:sz w:val="20"/>
        </w:rPr>
        <w:t xml:space="preserve">(y) any other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of Securities and Trustee’s Certificate</w:t>
      </w:r>
      <w:r>
        <w:rPr>
          <w:rFonts w:ascii="Times New Roman" w:hAnsi="Times New Roman"/>
          <w:sz w:val="20"/>
        </w:rPr>
        <w:t xml:space="preserve">. 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Denominations: Provisions for Payment</w:t>
      </w:r>
      <w:r>
        <w:rPr>
          <w:rFonts w:ascii="Times New Roman" w:hAnsi="Times New Roman"/>
          <w:sz w:val="20"/>
        </w:rPr>
        <w:t xml:space="preserve">. 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sz w:val="20"/>
        </w:rPr>
        <w:t xml:space="preserve">(1)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 </w:t>
      </w:r>
    </w:p>
    <w:p>
      <w:pPr>
        <w:pStyle w:val="TextBody"/>
        <w:bidi w:val="0"/>
        <w:spacing w:before="240" w:after="0"/>
        <w:jc w:val="left"/>
        <w:rPr>
          <w:rFonts w:ascii="Times New Roman" w:hAnsi="Times New Roman"/>
          <w:sz w:val="20"/>
        </w:rPr>
      </w:pPr>
      <w:r>
        <w:rPr>
          <w:rFonts w:ascii="Times New Roman" w:hAnsi="Times New Roman"/>
          <w:sz w:val="20"/>
        </w:rPr>
        <w:t xml:space="preserve">(2)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Execution and Authentications</w:t>
      </w:r>
      <w:r>
        <w:rPr>
          <w:rFonts w:ascii="Times New Roman" w:hAnsi="Times New Roman"/>
          <w:sz w:val="20"/>
        </w:rPr>
        <w:t xml:space="preserve">. The Securities shall be signed on behalf of the Company by one of its Officers. Signatures may be in the form of a manual or facsimile signature.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(2) 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w:t>
      </w:r>
    </w:p>
    <w:p>
      <w:pPr>
        <w:pStyle w:val="TextBody"/>
        <w:bidi w:val="0"/>
        <w:spacing w:before="240" w:after="0"/>
        <w:jc w:val="left"/>
        <w:rPr>
          <w:rFonts w:ascii="Times New Roman" w:hAnsi="Times New Roman"/>
          <w:sz w:val="20"/>
        </w:rPr>
      </w:pPr>
      <w:r>
        <w:rPr>
          <w:rFonts w:ascii="Times New Roman" w:hAnsi="Times New Roman"/>
          <w:sz w:val="20"/>
        </w:rPr>
        <w:t xml:space="preserve">times shall be open for inspection by the Trustee. The registrar for the purpose of registering Securities and transfer of Securities as herein provided shall be appointed as authorized by Board Resolution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sz w:val="20"/>
        </w:rPr>
        <w:t xml:space="preserve">(3)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Temporary Securities</w:t>
      </w:r>
      <w:r>
        <w:rPr>
          <w:rFonts w:ascii="Times New Roman" w:hAnsi="Times New Roman"/>
          <w:sz w:val="20"/>
        </w:rPr>
        <w:t xml:space="preserve">. 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Mutilated, Destroyed, Lost or Stolen Securities</w:t>
      </w:r>
      <w:r>
        <w:rPr>
          <w:rFonts w:ascii="Times New Roman" w:hAnsi="Times New Roman"/>
          <w:sz w:val="20"/>
        </w:rPr>
        <w:t xml:space="preserve">. 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Cancellation</w:t>
      </w:r>
      <w:r>
        <w:rPr>
          <w:rFonts w:ascii="Times New Roman" w:hAnsi="Times New Roman"/>
          <w:sz w:val="20"/>
        </w:rPr>
        <w:t xml:space="preserve">. 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Benefits of Indenture</w:t>
      </w:r>
      <w:r>
        <w:rPr>
          <w:rFonts w:ascii="Times New Roman" w:hAnsi="Times New Roman"/>
          <w:sz w:val="20"/>
        </w:rPr>
        <w:t xml:space="preserve">. 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Authenticating Agent</w:t>
      </w:r>
      <w:r>
        <w:rPr>
          <w:rFonts w:ascii="Times New Roman" w:hAnsi="Times New Roman"/>
          <w:sz w:val="20"/>
        </w:rPr>
        <w:t xml:space="preserve">. 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(3)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Redemption</w:t>
      </w:r>
      <w:r>
        <w:rPr>
          <w:rFonts w:ascii="Times New Roman" w:hAnsi="Times New Roman"/>
          <w:sz w:val="20"/>
        </w:rPr>
        <w:t xml:space="preserve">. 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(2)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(2)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Sinking Fund</w:t>
      </w:r>
      <w:r>
        <w:rPr>
          <w:rFonts w:ascii="Times New Roman" w:hAnsi="Times New Roman"/>
          <w:sz w:val="20"/>
        </w:rPr>
        <w:t xml:space="preserve">. 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Satisfaction of Sinking Fund Payments with Securities</w:t>
      </w:r>
      <w:r>
        <w:rPr>
          <w:rFonts w:ascii="Times New Roman" w:hAnsi="Times New Roman"/>
          <w:sz w:val="20"/>
        </w:rPr>
        <w:t xml:space="preserve">. 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Redemption of Securities for Sinking Fund</w:t>
      </w:r>
      <w:r>
        <w:rPr>
          <w:rFonts w:ascii="Times New Roman" w:hAnsi="Times New Roman"/>
          <w:sz w:val="20"/>
        </w:rPr>
        <w:t xml:space="preserve">. 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Principal, Premium and Interest</w:t>
      </w:r>
      <w:r>
        <w:rPr>
          <w:rFonts w:ascii="Times New Roman" w:hAnsi="Times New Roman"/>
          <w:sz w:val="20"/>
        </w:rPr>
        <w:t xml:space="preserve">. 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(a)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(b)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(c) 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before="240" w:after="0"/>
        <w:jc w:val="left"/>
        <w:rPr>
          <w:rFonts w:ascii="Times New Roman" w:hAnsi="Times New Roman"/>
          <w:sz w:val="20"/>
        </w:rPr>
      </w:pPr>
      <w:r>
        <w:rPr>
          <w:rFonts w:ascii="Times New Roman" w:hAnsi="Times New Roman"/>
          <w:sz w:val="20"/>
        </w:rPr>
        <w:t xml:space="preserve">(d)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(2)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(3)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Appointment to Fill Vacancy in Office of Trustee</w:t>
      </w:r>
      <w:r>
        <w:rPr>
          <w:rFonts w:ascii="Times New Roman" w:hAnsi="Times New Roman"/>
          <w:sz w:val="20"/>
        </w:rPr>
        <w:t xml:space="preserve">. The Company, whenever necessary to avoid or fill a vacancy in the office of Trustee, will appoint, in the manner provided in Section 7.10, a Trustee, so that there shall at all times be a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Compliance with Consolidation Provisions</w:t>
      </w:r>
      <w:r>
        <w:rPr>
          <w:rFonts w:ascii="Times New Roman" w:hAnsi="Times New Roman"/>
          <w:sz w:val="20"/>
        </w:rPr>
        <w:t xml:space="preserve">. 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SECURITYHOLDERS’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Company to Furnish Trustee Names and Addresses of Securityholders</w:t>
      </w:r>
      <w:r>
        <w:rPr>
          <w:rFonts w:ascii="Times New Roman" w:hAnsi="Times New Roman"/>
          <w:sz w:val="20"/>
        </w:rPr>
        <w:t xml:space="preserve">. 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(3)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 </w:t>
      </w:r>
    </w:p>
    <w:p>
      <w:pPr>
        <w:pStyle w:val="TextBody"/>
        <w:bidi w:val="0"/>
        <w:spacing w:before="240" w:after="0"/>
        <w:jc w:val="left"/>
        <w:rPr>
          <w:rFonts w:ascii="Times New Roman" w:hAnsi="Times New Roman"/>
          <w:sz w:val="20"/>
        </w:rPr>
      </w:pPr>
      <w:r>
        <w:rPr>
          <w:rFonts w:ascii="Times New Roman" w:hAnsi="Times New Roman"/>
          <w:sz w:val="20"/>
        </w:rPr>
        <w:t xml:space="preserve">(2)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(2)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(3)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(a)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(d)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sz w:val="20"/>
        </w:rPr>
        <w:t xml:space="preserve">(e)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sz w:val="20"/>
        </w:rPr>
        <w:t xml:space="preserve">(2)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(4)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(2)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(3)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(4)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Application of Moneys Collected</w:t>
      </w:r>
      <w:r>
        <w:rPr>
          <w:rFonts w:ascii="Times New Roman" w:hAnsi="Times New Roman"/>
          <w:sz w:val="20"/>
        </w:rPr>
        <w:t xml:space="preserve">. 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reasonable costs and expenses of collection and of all amounts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Limitation on Suits</w:t>
      </w:r>
      <w:r>
        <w:rPr>
          <w:rFonts w:ascii="Times New Roman" w:hAnsi="Times New Roman"/>
          <w:sz w:val="20"/>
        </w:rPr>
        <w:t xml:space="preserve">. 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(2)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Control by Securityholders</w:t>
      </w:r>
      <w:r>
        <w:rPr>
          <w:rFonts w:ascii="Times New Roman" w:hAnsi="Times New Roman"/>
          <w:sz w:val="20"/>
        </w:rPr>
        <w:t xml:space="preserve">. 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Undertaking to Pay Costs</w:t>
      </w:r>
      <w:r>
        <w:rPr>
          <w:rFonts w:ascii="Times New Roman" w:hAnsi="Times New Roman"/>
          <w:sz w:val="20"/>
        </w:rPr>
        <w:t xml:space="preserve">. 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w:t>
      </w:r>
    </w:p>
    <w:p>
      <w:pPr>
        <w:pStyle w:val="TextBody"/>
        <w:bidi w:val="0"/>
        <w:spacing w:before="240" w:after="0"/>
        <w:jc w:val="left"/>
        <w:rPr>
          <w:rFonts w:ascii="Times New Roman" w:hAnsi="Times New Roman"/>
          <w:sz w:val="20"/>
        </w:rPr>
      </w:pPr>
      <w:r>
        <w:rPr>
          <w:rFonts w:ascii="Times New Roman" w:hAnsi="Times New Roman"/>
          <w:sz w:val="20"/>
        </w:rPr>
        <w:t xml:space="preserve">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(2)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sz w:val="20"/>
        </w:rPr>
        <w:t xml:space="preserve">(B)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or Responsible Officers of the Trustee,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Certain Rights of Trustee.</w:t>
      </w:r>
      <w:r>
        <w:rPr>
          <w:rFonts w:ascii="Times New Roman" w:hAnsi="Times New Roman"/>
          <w:sz w:val="20"/>
        </w:rPr>
        <w:t xml:space="preserve"> Except as otherwise provided in Section 7.01: </w:t>
      </w:r>
    </w:p>
    <w:p>
      <w:pPr>
        <w:pStyle w:val="TextBody"/>
        <w:bidi w:val="0"/>
        <w:spacing w:before="120" w:after="0"/>
        <w:jc w:val="left"/>
        <w:rPr>
          <w:rFonts w:ascii="Times New Roman" w:hAnsi="Times New Roman"/>
          <w:sz w:val="20"/>
        </w:rPr>
      </w:pPr>
      <w:r>
        <w:rPr>
          <w:rFonts w:ascii="Times New Roman" w:hAnsi="Times New Roman"/>
          <w:sz w:val="20"/>
        </w:rPr>
        <w:t xml:space="preserve">(1) 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(2)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(3) The Trustee may consult with counsel and the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(4)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(5)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(6)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sz w:val="20"/>
        </w:rPr>
        <w:t xml:space="preserve">(7)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(8)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 </w:t>
      </w:r>
    </w:p>
    <w:p>
      <w:pPr>
        <w:pStyle w:val="TextBody"/>
        <w:bidi w:val="0"/>
        <w:spacing w:before="240" w:after="0"/>
        <w:jc w:val="left"/>
        <w:rPr>
          <w:rFonts w:ascii="Times New Roman" w:hAnsi="Times New Roman"/>
          <w:sz w:val="20"/>
        </w:rPr>
      </w:pPr>
      <w:r>
        <w:rPr>
          <w:rFonts w:ascii="Times New Roman" w:hAnsi="Times New Roman"/>
          <w:sz w:val="20"/>
        </w:rPr>
        <w:t xml:space="preserve">(10) 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Trustee shall not be deemed to have knowledge of any Default or Event of Default until the Trustee shall have received written notification in the manner set forth in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Trustee Not Responsible for Recitals or Issuance or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recitals contained herein and in the Securities shall be taken as the statements of the Company, and the Trustee assumes no responsibility for the correctness of the same.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May Hold Securities.</w:t>
      </w:r>
      <w:r>
        <w:rPr>
          <w:rFonts w:ascii="Times New Roman" w:hAnsi="Times New Roman"/>
          <w:sz w:val="20"/>
        </w:rPr>
        <w:t xml:space="preserve"> 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Moneys Held in Trust.</w:t>
      </w:r>
      <w:r>
        <w:rPr>
          <w:rFonts w:ascii="Times New Roman" w:hAnsi="Times New Roman"/>
          <w:sz w:val="20"/>
        </w:rPr>
        <w:t xml:space="preserve"> 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Compensation and Reimbursement.</w:t>
      </w:r>
    </w:p>
    <w:p>
      <w:pPr>
        <w:pStyle w:val="TextBody"/>
        <w:bidi w:val="0"/>
        <w:spacing w:before="240" w:after="0"/>
        <w:jc w:val="left"/>
        <w:rPr>
          <w:rFonts w:ascii="Times New Roman" w:hAnsi="Times New Roman"/>
          <w:sz w:val="20"/>
        </w:rPr>
      </w:pPr>
      <w:r>
        <w:rPr>
          <w:rFonts w:ascii="Times New Roman" w:hAnsi="Times New Roman"/>
          <w:sz w:val="20"/>
        </w:rPr>
        <w:t xml:space="preserve">(1)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(3)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Reliance on Officer’s Certificate.</w:t>
      </w:r>
      <w:r>
        <w:rPr>
          <w:rFonts w:ascii="Times New Roman" w:hAnsi="Times New Roman"/>
          <w:sz w:val="20"/>
        </w:rPr>
        <w:t xml:space="preserve"> 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Disqualification; Conflicting Interests.</w:t>
      </w:r>
      <w:r>
        <w:rPr>
          <w:rFonts w:ascii="Times New Roman" w:hAnsi="Times New Roman"/>
          <w:sz w:val="20"/>
        </w:rPr>
        <w:t xml:space="preserve"> 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Corporate Trustee Required; Eligibility.</w:t>
      </w:r>
      <w:r>
        <w:rPr>
          <w:rFonts w:ascii="Times New Roman" w:hAnsi="Times New Roman"/>
          <w:sz w:val="20"/>
        </w:rPr>
        <w:t xml:space="preserve"> 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Appointment of Successor.</w:t>
      </w:r>
    </w:p>
    <w:p>
      <w:pPr>
        <w:pStyle w:val="TextBody"/>
        <w:bidi w:val="0"/>
        <w:spacing w:before="240" w:after="0"/>
        <w:jc w:val="left"/>
        <w:rPr>
          <w:rFonts w:ascii="Times New Roman" w:hAnsi="Times New Roman"/>
          <w:sz w:val="20"/>
        </w:rPr>
      </w:pPr>
      <w:r>
        <w:rPr>
          <w:rFonts w:ascii="Times New Roman" w:hAnsi="Times New Roman"/>
          <w:sz w:val="20"/>
        </w:rPr>
        <w:t xml:space="preserve">(1)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(2)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(a)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cease to be eligible in accordance with the provisions of Section 7.09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(3)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sz w:val="20"/>
        </w:rPr>
        <w:t xml:space="preserve">(5)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w:t>
      </w:r>
    </w:p>
    <w:p>
      <w:pPr>
        <w:pStyle w:val="TextBody"/>
        <w:bidi w:val="0"/>
        <w:spacing w:before="240" w:after="0"/>
        <w:jc w:val="left"/>
        <w:rPr>
          <w:rFonts w:ascii="Times New Roman" w:hAnsi="Times New Roman"/>
          <w:sz w:val="20"/>
        </w:rPr>
      </w:pPr>
      <w:r>
        <w:rPr>
          <w:rFonts w:ascii="Times New Roman" w:hAnsi="Times New Roman"/>
          <w:sz w:val="20"/>
        </w:rPr>
        <w:t xml:space="preserve">(1)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(2)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(3) Upon request of any such successor trustee, the Company shall execute any and all instruments for more fully and certainly vesting in and confirming to such successor trustee all such rights, powers and trusts referred to in paragraph (1) or (2)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(4)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(5)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w:t>
      </w:r>
      <w:r>
        <w:rPr>
          <w:rFonts w:ascii="Times New Roman" w:hAnsi="Times New Roman"/>
          <w:sz w:val="20"/>
        </w:rPr>
        <w:t xml:space="preserv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Preferential Collection of Claims Against the Company.</w:t>
      </w:r>
      <w:r>
        <w:rPr>
          <w:rFonts w:ascii="Times New Roman" w:hAnsi="Times New Roman"/>
          <w:sz w:val="20"/>
        </w:rPr>
        <w:t xml:space="preserve"> 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Notice of Default.</w:t>
      </w:r>
      <w:r>
        <w:rPr>
          <w:rFonts w:ascii="Times New Roman" w:hAnsi="Times New Roman"/>
          <w:sz w:val="20"/>
        </w:rPr>
        <w:t xml:space="preserve"> 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provided, however, that, except in the case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Evidence of Action by Securityholders.</w:t>
      </w:r>
      <w:r>
        <w:rPr>
          <w:rFonts w:ascii="Times New Roman" w:hAnsi="Times New Roman"/>
          <w:sz w:val="20"/>
        </w:rPr>
        <w:t xml:space="preserve"> 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Proof of Execution by Securityholders.</w:t>
      </w:r>
      <w:r>
        <w:rPr>
          <w:rFonts w:ascii="Times New Roman" w:hAnsi="Times New Roman"/>
          <w:sz w:val="20"/>
        </w:rPr>
        <w:t xml:space="preserve"> 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(1)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(2)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Who May be Deemed Owners.</w:t>
      </w:r>
      <w:r>
        <w:rPr>
          <w:rFonts w:ascii="Times New Roman" w:hAnsi="Times New Roman"/>
          <w:sz w:val="20"/>
        </w:rPr>
        <w:t xml:space="preserve"> 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Certain Securities Owned by Company Disregarded.</w:t>
      </w:r>
      <w:r>
        <w:rPr>
          <w:rFonts w:ascii="Times New Roman" w:hAnsi="Times New Roman"/>
          <w:sz w:val="20"/>
        </w:rPr>
        <w:t xml:space="preserve"> 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Actions Binding on Future Securityholders.</w:t>
      </w:r>
      <w:r>
        <w:rPr>
          <w:rFonts w:ascii="Times New Roman" w:hAnsi="Times New Roman"/>
          <w:sz w:val="20"/>
        </w:rPr>
        <w:t xml:space="preserve"> 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Supplemental Indentures Without the Consent of Securityholders.</w:t>
      </w:r>
      <w:r>
        <w:rPr>
          <w:rFonts w:ascii="Times New Roman" w:hAnsi="Times New Roman"/>
          <w:sz w:val="20"/>
        </w:rPr>
        <w:t xml:space="preserve"> 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(2) to comply with Article Ten; </w:t>
      </w:r>
    </w:p>
    <w:p>
      <w:pPr>
        <w:pStyle w:val="TextBody"/>
        <w:bidi w:val="0"/>
        <w:spacing w:before="240" w:after="0"/>
        <w:jc w:val="left"/>
        <w:rPr>
          <w:rFonts w:ascii="Times New Roman" w:hAnsi="Times New Roman"/>
          <w:sz w:val="20"/>
        </w:rPr>
      </w:pPr>
      <w:r>
        <w:rPr>
          <w:rFonts w:ascii="Times New Roman" w:hAnsi="Times New Roman"/>
          <w:sz w:val="20"/>
        </w:rPr>
        <w:t xml:space="preserve">(3)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(4) to add to the covenants, restrictions, conditions or provisions relating to the Company for the benefit of the holders of all or any series of Securities (and if such covenants, restrictions, conditions or provisions are to be for the benefit </w:t>
      </w:r>
    </w:p>
    <w:p>
      <w:pPr>
        <w:pStyle w:val="TextBody"/>
        <w:bidi w:val="0"/>
        <w:spacing w:before="240" w:after="0"/>
        <w:jc w:val="left"/>
        <w:rPr>
          <w:rFonts w:ascii="Times New Roman" w:hAnsi="Times New Roman"/>
          <w:sz w:val="20"/>
        </w:rPr>
      </w:pPr>
      <w:r>
        <w:rPr>
          <w:rFonts w:ascii="Times New Roman" w:hAnsi="Times New Roman"/>
          <w:sz w:val="20"/>
        </w:rPr>
        <w:t xml:space="preserve">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(5) 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(6) to make any change that does not adversely affect the rights of any Securityholder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(8) to evidence and provide for the acceptance of appointment hereunder by a successor trustee; or </w:t>
      </w:r>
    </w:p>
    <w:p>
      <w:pPr>
        <w:pStyle w:val="TextBody"/>
        <w:bidi w:val="0"/>
        <w:spacing w:before="240" w:after="0"/>
        <w:jc w:val="left"/>
        <w:rPr>
          <w:rFonts w:ascii="Times New Roman" w:hAnsi="Times New Roman"/>
          <w:sz w:val="20"/>
        </w:rPr>
      </w:pPr>
      <w:r>
        <w:rPr>
          <w:rFonts w:ascii="Times New Roman" w:hAnsi="Times New Roman"/>
          <w:sz w:val="20"/>
        </w:rPr>
        <w:t xml:space="preserve">(9) to comply with any requirements of the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Supplemental Indentures With Consent of Securityholders.</w:t>
      </w:r>
      <w:r>
        <w:rPr>
          <w:rFonts w:ascii="Times New Roman" w:hAnsi="Times New Roman"/>
          <w:sz w:val="20"/>
        </w:rPr>
        <w:t xml:space="preserve"> With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Effect of Supplemental Indentures.</w:t>
      </w:r>
      <w:r>
        <w:rPr>
          <w:rFonts w:ascii="Times New Roman" w:hAnsi="Times New Roman"/>
          <w:sz w:val="20"/>
        </w:rPr>
        <w:t xml:space="preserve"> Upon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Securities Affected by Supplemental Indentures.</w:t>
      </w:r>
      <w:r>
        <w:rPr>
          <w:rFonts w:ascii="Times New Roman" w:hAnsi="Times New Roman"/>
          <w:sz w:val="20"/>
        </w:rPr>
        <w:t xml:space="preserve"> Securities of any series affected by a supplemental indenture, authenticated and delivered after the execution of such supplemental indenture pursuant to the provisions of this </w:t>
      </w:r>
    </w:p>
    <w:p>
      <w:pPr>
        <w:pStyle w:val="TextBody"/>
        <w:bidi w:val="0"/>
        <w:spacing w:before="240" w:after="0"/>
        <w:jc w:val="left"/>
        <w:rPr>
          <w:rFonts w:ascii="Times New Roman" w:hAnsi="Times New Roman"/>
          <w:sz w:val="20"/>
        </w:rPr>
      </w:pPr>
      <w:r>
        <w:rPr>
          <w:rFonts w:ascii="Times New Roman" w:hAnsi="Times New Roman"/>
          <w:sz w:val="20"/>
        </w:rPr>
        <w:t xml:space="preserve">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Execution of Supplemental Indentures.</w:t>
      </w:r>
      <w:r>
        <w:rPr>
          <w:rFonts w:ascii="Times New Roman" w:hAnsi="Times New Roman"/>
          <w:sz w:val="20"/>
        </w:rPr>
        <w:t xml:space="preserve"> 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Company May Consolidate, Etc.</w:t>
      </w:r>
      <w:r>
        <w:rPr>
          <w:rFonts w:ascii="Times New Roman" w:hAnsi="Times New Roman"/>
          <w:sz w:val="20"/>
        </w:rPr>
        <w:t xml:space="preserv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 Entity Substituted.</w:t>
      </w:r>
    </w:p>
    <w:p>
      <w:pPr>
        <w:pStyle w:val="TextBody"/>
        <w:bidi w:val="0"/>
        <w:spacing w:before="240" w:after="0"/>
        <w:jc w:val="left"/>
        <w:rPr>
          <w:rFonts w:ascii="Times New Roman" w:hAnsi="Times New Roman"/>
          <w:sz w:val="20"/>
        </w:rPr>
      </w:pPr>
      <w:r>
        <w:rPr>
          <w:rFonts w:ascii="Times New Roman" w:hAnsi="Times New Roman"/>
          <w:sz w:val="20"/>
        </w:rPr>
        <w:t xml:space="preserve">(1)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(3)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Satisfaction and Discharge of Indenture.</w:t>
      </w:r>
      <w:r>
        <w:rPr>
          <w:rFonts w:ascii="Times New Roman" w:hAnsi="Times New Roman"/>
          <w:sz w:val="20"/>
        </w:rPr>
        <w:t xml:space="preserve"> 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Discharge of Obligations.</w:t>
      </w:r>
      <w:r>
        <w:rPr>
          <w:rFonts w:ascii="Times New Roman" w:hAnsi="Times New Roman"/>
          <w:sz w:val="20"/>
        </w:rPr>
        <w:t xml:space="preserve"> 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 xml:space="preserve">Thereafter, Sections 7.06 and 11.05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Deposited Moneys to be Held in Trust.</w:t>
      </w:r>
      <w:r>
        <w:rPr>
          <w:rFonts w:ascii="Times New Roman" w:hAnsi="Times New Roman"/>
          <w:sz w:val="20"/>
        </w:rPr>
        <w:t xml:space="preserve">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Payment of Moneys Held by Paying Agents.</w:t>
      </w:r>
      <w:r>
        <w:rPr>
          <w:rFonts w:ascii="Times New Roman" w:hAnsi="Times New Roman"/>
          <w:sz w:val="20"/>
        </w:rPr>
        <w:t xml:space="preserve"> 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Repayment to Company.</w:t>
      </w:r>
      <w:r>
        <w:rPr>
          <w:rFonts w:ascii="Times New Roman" w:hAnsi="Times New Roman"/>
          <w:sz w:val="20"/>
        </w:rPr>
        <w:t xml:space="preserve"> 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No Recourse.</w:t>
      </w:r>
      <w:r>
        <w:rPr>
          <w:rFonts w:ascii="Times New Roman" w:hAnsi="Times New Roman"/>
          <w:sz w:val="20"/>
        </w:rPr>
        <w:t xml:space="preserve"> 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Effect on Successors and Assigns.</w:t>
      </w:r>
      <w:r>
        <w:rPr>
          <w:rFonts w:ascii="Times New Roman" w:hAnsi="Times New Roman"/>
          <w:sz w:val="20"/>
        </w:rPr>
        <w:t xml:space="preserve"> 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Actions by Successor.</w:t>
      </w:r>
      <w:r>
        <w:rPr>
          <w:rFonts w:ascii="Times New Roman" w:hAnsi="Times New Roman"/>
          <w:sz w:val="20"/>
        </w:rPr>
        <w:t xml:space="preserve"> 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Surrender of Company Powers.</w:t>
      </w:r>
      <w:r>
        <w:rPr>
          <w:rFonts w:ascii="Times New Roman" w:hAnsi="Times New Roman"/>
          <w:sz w:val="20"/>
        </w:rPr>
        <w:t xml:space="preserve"> 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Notices.</w:t>
      </w:r>
      <w:r>
        <w:rPr>
          <w:rFonts w:ascii="Times New Roman" w:hAnsi="Times New Roman"/>
          <w:sz w:val="20"/>
        </w:rPr>
        <w:t xml:space="preserve"> 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Governing Law.</w:t>
      </w:r>
      <w:r>
        <w:rPr>
          <w:rFonts w:ascii="Times New Roman" w:hAnsi="Times New Roman"/>
          <w:sz w:val="20"/>
        </w:rPr>
        <w:t xml:space="preserve"> This Indenture and each Security shall be deemed to be a contract made under the internal laws of the State of New York, and for all purposes shall be construed in accordance with the laws of said State,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sz w:val="20"/>
          <w:u w:val="single"/>
        </w:rPr>
        <w:t>Treatment of Securities as Debt.</w:t>
      </w:r>
      <w:r>
        <w:rPr>
          <w:rFonts w:ascii="Times New Roman" w:hAnsi="Times New Roman"/>
          <w:sz w:val="20"/>
        </w:rPr>
        <w:t xml:space="preserve"> 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sz w:val="20"/>
          <w:u w:val="single"/>
        </w:rPr>
        <w:t>Certificates and Opinions as to Conditions Precedent.</w:t>
      </w:r>
    </w:p>
    <w:p>
      <w:pPr>
        <w:pStyle w:val="TextBody"/>
        <w:bidi w:val="0"/>
        <w:spacing w:before="240" w:after="0"/>
        <w:jc w:val="left"/>
        <w:rPr>
          <w:rFonts w:ascii="Times New Roman" w:hAnsi="Times New Roman"/>
          <w:sz w:val="20"/>
        </w:rPr>
      </w:pPr>
      <w:r>
        <w:rPr>
          <w:rFonts w:ascii="Times New Roman" w:hAnsi="Times New Roman"/>
          <w:sz w:val="20"/>
        </w:rPr>
        <w:t xml:space="preserve">(1)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(2) 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sz w:val="20"/>
          <w:u w:val="single"/>
        </w:rPr>
        <w:t>Payments on Business Days.</w:t>
      </w:r>
      <w:r>
        <w:rPr>
          <w:rFonts w:ascii="Times New Roman" w:hAnsi="Times New Roman"/>
          <w:sz w:val="20"/>
        </w:rPr>
        <w:t xml:space="preserve"> 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13.09 </w:t>
      </w:r>
      <w:r>
        <w:rPr>
          <w:rFonts w:ascii="Times New Roman" w:hAnsi="Times New Roman"/>
          <w:sz w:val="20"/>
          <w:u w:val="single"/>
        </w:rPr>
        <w:t>Conflict with Trust Indenture Act.</w:t>
      </w:r>
      <w:r>
        <w:rPr>
          <w:rFonts w:ascii="Times New Roman" w:hAnsi="Times New Roman"/>
          <w:sz w:val="20"/>
        </w:rPr>
        <w:t xml:space="preserve"> If and to the extent that any provision of this Indenture limits, qualifies or conflicts with the duties imposed by Sections 310 to 317, inclusive, of the Trust Indenture Act, such imposed duties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Counterparts.</w:t>
      </w:r>
      <w:r>
        <w:rPr>
          <w:rFonts w:ascii="Times New Roman" w:hAnsi="Times New Roman"/>
          <w:sz w:val="20"/>
        </w:rPr>
        <w:t xml:space="preserve"> This Indenture may be executed in any number of counterparts, each of which shall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Separability.</w:t>
      </w:r>
      <w:r>
        <w:rPr>
          <w:rFonts w:ascii="Times New Roman" w:hAnsi="Times New Roman"/>
          <w:sz w:val="20"/>
        </w:rPr>
        <w:t xml:space="preserve"> 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Compliance Certificates.</w:t>
      </w:r>
      <w:r>
        <w:rPr>
          <w:rFonts w:ascii="Times New Roman" w:hAnsi="Times New Roman"/>
          <w:sz w:val="20"/>
        </w:rPr>
        <w:t xml:space="preserve"> 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b/>
                <w:sz w:val="20"/>
              </w:rPr>
            </w:pPr>
            <w:r>
              <w:rPr>
                <w:rFonts w:ascii="Times New Roman" w:hAnsi="Times New Roman"/>
                <w:b/>
                <w:sz w:val="20"/>
              </w:rPr>
              <w:t>BRIDGEBIO ONCOLOGY THERAPEUTICS, INC.</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TRUSTEE</w:t>
            </w:r>
            <w:r>
              <w:rPr>
                <w:rFonts w:ascii="Times New Roman" w:hAnsi="Times New Roman"/>
                <w:sz w:val="20"/>
              </w:rPr>
              <w:t>], as Trustee</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CROSS-REFERENCE TABLE2</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86"/>
        <w:gridCol w:w="134"/>
        <w:gridCol w:w="1255"/>
        <w:gridCol w:w="134"/>
        <w:gridCol w:w="296"/>
      </w:tblGrid>
      <w:tr>
        <w:trPr/>
        <w:tc>
          <w:tcPr>
            <w:tcW w:w="838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838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Section of Trust Indenture Act of 1939, as Amended</w:t>
            </w:r>
          </w:p>
        </w:tc>
        <w:tc>
          <w:tcPr>
            <w:tcW w:w="134" w:type="dxa"/>
            <w:tcBorders/>
            <w:vAlign w:val="bottom"/>
          </w:tcPr>
          <w:p>
            <w:pPr>
              <w:pStyle w:val="TableContents"/>
              <w:bidi w:val="0"/>
              <w:spacing w:before="0" w:after="283"/>
              <w:jc w:val="left"/>
              <w:rPr/>
            </w:pPr>
            <w:r>
              <w:rPr/>
              <w:t>  </w:t>
            </w:r>
          </w:p>
        </w:tc>
        <w:tc>
          <w:tcPr>
            <w:tcW w:w="12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of</w:t>
              <w:br/>
              <w:t>Indenture</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310(a)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7.09</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310(b)</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7.08</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7.10</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310(c)</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Inapplicable</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311(a)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7.13</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311(b)</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7.13</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311(c)</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Inapplicable</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5.01</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5.02</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center"/>
              <w:rPr/>
            </w:pPr>
            <w:r>
              <w:rPr/>
              <w:t>(1)</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312(b)</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5.02</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(3)</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312(c)</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5.02</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(3)</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313(a)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5.04</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(1)</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313(b)</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5.04</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(2)</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313(c)</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5.04</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(1)</w:t>
            </w:r>
          </w:p>
        </w:tc>
      </w:tr>
      <w:tr>
        <w:trPr/>
        <w:tc>
          <w:tcPr>
            <w:tcW w:w="838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5.04</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center"/>
              <w:rPr/>
            </w:pPr>
            <w:r>
              <w:rPr/>
              <w:t>(2)</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313(d)</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5.04</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(3)</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5.03</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13.12</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314(b)</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Inapplicable</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314(c)</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13.07</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(1)</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314(d)</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Inapplicable</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314(e)</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13.07</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(2)</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314(f)</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Inapplicable</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7.01</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(1)</w:t>
            </w:r>
          </w:p>
        </w:tc>
      </w:tr>
      <w:tr>
        <w:trPr/>
        <w:tc>
          <w:tcPr>
            <w:tcW w:w="838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7.01</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center"/>
              <w:rPr/>
            </w:pPr>
            <w:r>
              <w:rPr/>
              <w:t>(2)</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315(b)</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7.14</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315(c)</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7.01</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315(d)</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7.01</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right"/>
              <w:rPr/>
            </w:pPr>
            <w:r>
              <w:rPr/>
              <w:t>(2)</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315(e)</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6.07</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316(a)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6.06</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8.04</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316(b)</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6.04</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316(c)</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8.01</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317(a)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6.02</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317(b)</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4.03</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r>
        <w:trPr/>
        <w:tc>
          <w:tcPr>
            <w:tcW w:w="8386"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134"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13.09</w:t>
            </w:r>
          </w:p>
        </w:tc>
        <w:tc>
          <w:tcPr>
            <w:tcW w:w="13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TextBody"/>
        <w:bidi w:val="0"/>
        <w:spacing w:before="0" w:after="0"/>
        <w:jc w:val="right"/>
        <w:rPr>
          <w:rFonts w:ascii="Times New Roman" w:hAnsi="Times New Roman"/>
          <w:b/>
          <w:sz w:val="20"/>
        </w:rPr>
      </w:pPr>
      <w:bookmarkStart w:id="37" w:name="d140634dex43.htm"/>
      <w:bookmarkStart w:id="38" w:name="ksd140634dex43"/>
      <w:bookmarkEnd w:id="37"/>
      <w:bookmarkEnd w:id="38"/>
      <w:r>
        <w:rPr>
          <w:rFonts w:ascii="Times New Roman" w:hAnsi="Times New Roman"/>
          <w:b/>
          <w:sz w:val="20"/>
        </w:rPr>
        <w:t xml:space="preserve">Exhibit.4.3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BRIDGEBIO ONCOLOGY THERAPEUTICS, INC.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sz w:val="20"/>
        </w:rPr>
        <w:t>TRUSTEE</w:t>
      </w:r>
      <w:r>
        <w:rPr>
          <w:rFonts w:ascii="Times New Roman" w:hAnsi="Times New Roman"/>
          <w:sz w:val="20"/>
        </w:rPr>
        <w:t>]</w:t>
      </w:r>
      <w:r>
        <w:rPr>
          <w:rFonts w:ascii="Times New Roman" w:hAnsi="Times New Roman"/>
          <w:b/>
          <w:sz w:val="20"/>
        </w:rPr>
        <w:t>,</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b/>
          <w:sz w:val="20"/>
        </w:rPr>
        <w:t xml:space="preserve">Dated as of </w:t>
      </w:r>
      <w:r>
        <w:rPr>
          <w:rFonts w:ascii="Times New Roman" w:hAnsi="Times New Roman"/>
          <w:sz w:val="20"/>
        </w:rPr>
        <w:t xml:space="preserve">[    ] </w:t>
      </w:r>
    </w:p>
    <w:p>
      <w:pPr>
        <w:pStyle w:val="TextBody"/>
        <w:bidi w:val="0"/>
        <w:spacing w:before="240" w:after="0"/>
        <w:jc w:val="center"/>
        <w:rPr>
          <w:rFonts w:ascii="Times New Roman" w:hAnsi="Times New Roman"/>
          <w:b/>
          <w:sz w:val="20"/>
        </w:rPr>
      </w:pPr>
      <w:r>
        <w:rPr>
          <w:rFonts w:ascii="Times New Roman" w:hAnsi="Times New Roman"/>
          <w:b/>
          <w:sz w:val="20"/>
        </w:rPr>
        <w:t xml:space="preserve">Subordinated 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TABLE OF CONTENTS1</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12"/>
        <w:gridCol w:w="78"/>
        <w:gridCol w:w="8102"/>
        <w:gridCol w:w="135"/>
        <w:gridCol w:w="96"/>
        <w:gridCol w:w="419"/>
        <w:gridCol w:w="63"/>
      </w:tblGrid>
      <w:tr>
        <w:trPr/>
        <w:tc>
          <w:tcPr>
            <w:tcW w:w="1312"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102"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31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92" w:type="dxa"/>
            <w:gridSpan w:val="3"/>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312"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Definitions of Terms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492" w:type="dxa"/>
            <w:gridSpan w:val="3"/>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ISSUE, DESCRIPTION, TERMS, EXECUTION, REGISTRATION AND EXCHANGE OF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1312"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Designation and Terms of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Form of Securities and Trustee’s Certificate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Denominations: Provisions for Payment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Execution and Authentications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Registration of Transfer and Exchange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Temporary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Mutilated, Destroyed, Lost or Stolen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Cancellation</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Benefits of Indenture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Authenticating Agent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Global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492" w:type="dxa"/>
            <w:gridSpan w:val="3"/>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REDEMPTION OF SECURITIES AND SINKING FUND PROVISIONS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312"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Redemption</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Notice of Redemption</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Payment Upon Redemption</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Sinking Fund</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Satisfaction of Sinking Fund Payments with Securities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Redemption of Securities for Sinking Fund</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492" w:type="dxa"/>
            <w:gridSpan w:val="3"/>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COVENANTS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312"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Payment of Principal, Premium and Interest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Maintenance of Office or Agency</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Paying Agents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4.04</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Appointment to Fill Vacancy in Office of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4.05</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Compliance with Consolidation Provisions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492" w:type="dxa"/>
            <w:gridSpan w:val="3"/>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SECURITYHOLDERS’ LISTS AND REPORTS BY THE COMPANY AND THE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312"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Company to Furnish Trustee Names and Addresses of Securityholders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Preservation Of Information; Communications With Securityholders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Reports by the Company</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Reports by the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492" w:type="dxa"/>
            <w:gridSpan w:val="3"/>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949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REMEDIES OF THE TRUSTEE AND SECURITYHOLDERS ON EVENT OF DEFAULT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1312" w:type="dxa"/>
            <w:tcBorders/>
            <w:vAlign w:val="center"/>
          </w:tcPr>
          <w:p>
            <w:pPr>
              <w:pStyle w:val="TableContents"/>
              <w:bidi w:val="0"/>
              <w:spacing w:before="0" w:after="283"/>
              <w:jc w:val="left"/>
              <w:rPr>
                <w:sz w:val="4"/>
                <w:szCs w:val="4"/>
              </w:rPr>
            </w:pPr>
            <w:r>
              <w:rPr>
                <w:sz w:val="4"/>
                <w:szCs w:val="4"/>
              </w:rPr>
            </w:r>
          </w:p>
        </w:tc>
        <w:tc>
          <w:tcPr>
            <w:tcW w:w="8180" w:type="dxa"/>
            <w:gridSpan w:val="2"/>
            <w:tcBorders/>
            <w:vAlign w:val="center"/>
          </w:tcPr>
          <w:p>
            <w:pPr>
              <w:pStyle w:val="TableContents"/>
              <w:bidi w:val="0"/>
              <w:spacing w:before="0" w:after="283"/>
              <w:jc w:val="left"/>
              <w:rPr>
                <w:sz w:val="4"/>
                <w:szCs w:val="4"/>
              </w:rPr>
            </w:pPr>
            <w:r>
              <w:rPr>
                <w:sz w:val="4"/>
                <w:szCs w:val="4"/>
              </w:rPr>
            </w:r>
          </w:p>
        </w:tc>
        <w:tc>
          <w:tcPr>
            <w:tcW w:w="713" w:type="dxa"/>
            <w:gridSpan w:val="4"/>
            <w:tcBorders/>
            <w:vAlign w:val="center"/>
          </w:tcPr>
          <w:p>
            <w:pPr>
              <w:pStyle w:val="TableContents"/>
              <w:bidi w:val="0"/>
              <w:spacing w:before="0" w:after="283"/>
              <w:jc w:val="left"/>
              <w:rPr>
                <w:sz w:val="4"/>
                <w:szCs w:val="4"/>
              </w:rPr>
            </w:pPr>
            <w:r>
              <w:rPr>
                <w:sz w:val="4"/>
                <w:szCs w:val="4"/>
              </w:rPr>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Events of Default</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Collection of Indebtedness and Suits for Enforcement by Trustee</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Application of Moneys Collected</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Limitation on Suits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Rights and Remedies Cumulative; Delay or Omission Not Waiver</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Control by Securityholders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312"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78" w:type="dxa"/>
            <w:tcBorders/>
            <w:vAlign w:val="bottom"/>
          </w:tcPr>
          <w:p>
            <w:pPr>
              <w:pStyle w:val="TableContents"/>
              <w:bidi w:val="0"/>
              <w:spacing w:before="0" w:after="283"/>
              <w:jc w:val="left"/>
              <w:rPr/>
            </w:pPr>
            <w:r>
              <w:rPr/>
              <w:t> </w:t>
            </w:r>
          </w:p>
        </w:tc>
        <w:tc>
          <w:tcPr>
            <w:tcW w:w="8102" w:type="dxa"/>
            <w:tcBorders/>
            <w:vAlign w:val="bottom"/>
          </w:tcPr>
          <w:p>
            <w:pPr>
              <w:pStyle w:val="TableContents"/>
              <w:bidi w:val="0"/>
              <w:spacing w:before="0" w:after="283"/>
              <w:jc w:val="left"/>
              <w:rPr/>
            </w:pPr>
            <w:r>
              <w:rPr/>
              <w:t>Undertaking to Pay Costs</w:t>
            </w:r>
          </w:p>
        </w:tc>
        <w:tc>
          <w:tcPr>
            <w:tcW w:w="13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Table of Contents does not constitute part of the Indenture and shall not have any bearing on the interpretation of any of its terms or provisions.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3"/>
        <w:gridCol w:w="82"/>
        <w:gridCol w:w="7933"/>
        <w:gridCol w:w="139"/>
        <w:gridCol w:w="96"/>
        <w:gridCol w:w="419"/>
        <w:gridCol w:w="63"/>
      </w:tblGrid>
      <w:tr>
        <w:trPr/>
        <w:tc>
          <w:tcPr>
            <w:tcW w:w="1473"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7933"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73"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CONCERNING THE TRUSTEE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Certain Duties and Responsibilities of Trustee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Certain Rights of Trustee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Trustee Not Responsible for Recitals or Issuance or Securities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May Hold Securities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7.05</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Moneys Held in Trust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7.06</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Compensation and Reimbursement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7.07</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Reliance on Officer’s Certificate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7.08</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Disqualification; Conflicting Interests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7.09</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Corporate Trustee Required; Eligibility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Resignation and Removal; Appointment of Successor</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Acceptance of Appointment By Successor</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Merger, Conversion, Consolidation or Succession to Business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Preferential Collection of Claims Against the Company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Notice of Default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CONCERNING THE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Evidence of Action by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Proof of Execution by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Who May be Deemed Owners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Certain Securities Owned by Company Disregarded</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Actions Binding on Future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SUPPLEMENTAL INDENTURES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Supplemental Indentures Without the Consent of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Supplemental Indentures With Consent of Securityholders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Effect of Supplemental Indentures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Securities Affected by Supplemental Indentures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Execution of Supplemental Indentures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SUCCESSOR ENTITY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Company May Consolidate, Etc</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Successor Entity Substituted</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SATISFACTION AND DISCHARGE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11.01</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Satisfaction and Discharge of Indenture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11.02</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Discharge of Obligations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11.03</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Deposited Moneys to be Held in Trust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11.04</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Payment of Moneys Held by Paying Agents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11.05</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Repayment to Company</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IMMUNITY OF INCORPORATORS, STOCKHOLDERS, OFFICERS AND DIRECTORS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12.01</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No Recourse</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9488" w:type="dxa"/>
            <w:gridSpan w:val="3"/>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948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13 MISCELLANEOUS PROVISIONS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rHeight w:val="120" w:hRule="atLeast"/>
        </w:trPr>
        <w:tc>
          <w:tcPr>
            <w:tcW w:w="1473" w:type="dxa"/>
            <w:tcBorders/>
            <w:vAlign w:val="center"/>
          </w:tcPr>
          <w:p>
            <w:pPr>
              <w:pStyle w:val="TableContents"/>
              <w:bidi w:val="0"/>
              <w:spacing w:before="0" w:after="283"/>
              <w:jc w:val="left"/>
              <w:rPr>
                <w:sz w:val="4"/>
                <w:szCs w:val="4"/>
              </w:rPr>
            </w:pPr>
            <w:r>
              <w:rPr>
                <w:sz w:val="4"/>
                <w:szCs w:val="4"/>
              </w:rPr>
            </w:r>
          </w:p>
        </w:tc>
        <w:tc>
          <w:tcPr>
            <w:tcW w:w="8015" w:type="dxa"/>
            <w:gridSpan w:val="2"/>
            <w:tcBorders/>
            <w:vAlign w:val="center"/>
          </w:tcPr>
          <w:p>
            <w:pPr>
              <w:pStyle w:val="TableContents"/>
              <w:bidi w:val="0"/>
              <w:spacing w:before="0" w:after="283"/>
              <w:jc w:val="left"/>
              <w:rPr>
                <w:sz w:val="4"/>
                <w:szCs w:val="4"/>
              </w:rPr>
            </w:pPr>
            <w:r>
              <w:rPr>
                <w:sz w:val="4"/>
                <w:szCs w:val="4"/>
              </w:rPr>
            </w:r>
          </w:p>
        </w:tc>
        <w:tc>
          <w:tcPr>
            <w:tcW w:w="717" w:type="dxa"/>
            <w:gridSpan w:val="4"/>
            <w:tcBorders/>
            <w:vAlign w:val="center"/>
          </w:tcPr>
          <w:p>
            <w:pPr>
              <w:pStyle w:val="TableContents"/>
              <w:bidi w:val="0"/>
              <w:spacing w:before="0" w:after="283"/>
              <w:jc w:val="left"/>
              <w:rPr>
                <w:sz w:val="4"/>
                <w:szCs w:val="4"/>
              </w:rPr>
            </w:pPr>
            <w:r>
              <w:rPr>
                <w:sz w:val="4"/>
                <w:szCs w:val="4"/>
              </w:rPr>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13.01</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Effect on Successors and Assigns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13.02</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Actions by Successor</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13.03</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Surrender of Company Powers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13.04</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Notices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13.05</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Governing Law</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13.06</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Treatment of Securities as Debt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13.07</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Certificates and Opinions as to Conditions Precedent</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73" w:type="dxa"/>
            <w:tcBorders/>
          </w:tcPr>
          <w:p>
            <w:pPr>
              <w:pStyle w:val="TableContents"/>
              <w:bidi w:val="0"/>
              <w:spacing w:before="0" w:after="0"/>
              <w:jc w:val="left"/>
              <w:rPr>
                <w:rFonts w:ascii="Times New Roman" w:hAnsi="Times New Roman"/>
                <w:sz w:val="20"/>
              </w:rPr>
            </w:pPr>
            <w:r>
              <w:rPr>
                <w:rFonts w:ascii="Times New Roman" w:hAnsi="Times New Roman"/>
                <w:sz w:val="20"/>
              </w:rPr>
              <w:t>Section 13.08</w:t>
            </w:r>
          </w:p>
        </w:tc>
        <w:tc>
          <w:tcPr>
            <w:tcW w:w="82" w:type="dxa"/>
            <w:tcBorders/>
            <w:vAlign w:val="bottom"/>
          </w:tcPr>
          <w:p>
            <w:pPr>
              <w:pStyle w:val="TableContents"/>
              <w:bidi w:val="0"/>
              <w:spacing w:before="0" w:after="283"/>
              <w:jc w:val="left"/>
              <w:rPr/>
            </w:pPr>
            <w:r>
              <w:rPr/>
              <w:t> </w:t>
            </w:r>
          </w:p>
        </w:tc>
        <w:tc>
          <w:tcPr>
            <w:tcW w:w="7933" w:type="dxa"/>
            <w:tcBorders/>
            <w:vAlign w:val="bottom"/>
          </w:tcPr>
          <w:p>
            <w:pPr>
              <w:pStyle w:val="TableContents"/>
              <w:bidi w:val="0"/>
              <w:spacing w:before="0" w:after="283"/>
              <w:jc w:val="left"/>
              <w:rPr/>
            </w:pPr>
            <w:r>
              <w:rPr/>
              <w:t>Payments on Business Days</w:t>
            </w:r>
          </w:p>
        </w:tc>
        <w:tc>
          <w:tcPr>
            <w:tcW w:w="1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64"/>
        <w:gridCol w:w="110"/>
        <w:gridCol w:w="7491"/>
        <w:gridCol w:w="161"/>
        <w:gridCol w:w="96"/>
        <w:gridCol w:w="419"/>
        <w:gridCol w:w="64"/>
      </w:tblGrid>
      <w:tr>
        <w:trPr/>
        <w:tc>
          <w:tcPr>
            <w:tcW w:w="1864"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7491"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64"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7491"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864" w:type="dxa"/>
            <w:tcBorders/>
            <w:vAlign w:val="center"/>
          </w:tcPr>
          <w:p>
            <w:pPr>
              <w:pStyle w:val="TableContents"/>
              <w:bidi w:val="0"/>
              <w:spacing w:before="0" w:after="283"/>
              <w:jc w:val="left"/>
              <w:rPr>
                <w:sz w:val="4"/>
                <w:szCs w:val="4"/>
              </w:rPr>
            </w:pPr>
            <w:r>
              <w:rPr>
                <w:sz w:val="4"/>
                <w:szCs w:val="4"/>
              </w:rPr>
            </w:r>
          </w:p>
        </w:tc>
        <w:tc>
          <w:tcPr>
            <w:tcW w:w="7601"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8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13.09</w:t>
            </w:r>
          </w:p>
        </w:tc>
        <w:tc>
          <w:tcPr>
            <w:tcW w:w="110" w:type="dxa"/>
            <w:tcBorders/>
            <w:vAlign w:val="bottom"/>
          </w:tcPr>
          <w:p>
            <w:pPr>
              <w:pStyle w:val="TableContents"/>
              <w:bidi w:val="0"/>
              <w:spacing w:before="0" w:after="283"/>
              <w:jc w:val="left"/>
              <w:rPr/>
            </w:pPr>
            <w:r>
              <w:rPr/>
              <w:t> </w:t>
            </w:r>
          </w:p>
        </w:tc>
        <w:tc>
          <w:tcPr>
            <w:tcW w:w="7491" w:type="dxa"/>
            <w:tcBorders/>
            <w:vAlign w:val="bottom"/>
          </w:tcPr>
          <w:p>
            <w:pPr>
              <w:pStyle w:val="TableContents"/>
              <w:bidi w:val="0"/>
              <w:spacing w:before="0" w:after="283"/>
              <w:jc w:val="left"/>
              <w:rPr/>
            </w:pPr>
            <w:r>
              <w:rPr/>
              <w:t>Conflict with Trust Indenture Act</w:t>
            </w:r>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18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13.10</w:t>
            </w:r>
          </w:p>
        </w:tc>
        <w:tc>
          <w:tcPr>
            <w:tcW w:w="110" w:type="dxa"/>
            <w:tcBorders/>
            <w:vAlign w:val="bottom"/>
          </w:tcPr>
          <w:p>
            <w:pPr>
              <w:pStyle w:val="TableContents"/>
              <w:bidi w:val="0"/>
              <w:spacing w:before="0" w:after="283"/>
              <w:jc w:val="left"/>
              <w:rPr/>
            </w:pPr>
            <w:r>
              <w:rPr/>
              <w:t> </w:t>
            </w:r>
          </w:p>
        </w:tc>
        <w:tc>
          <w:tcPr>
            <w:tcW w:w="7491" w:type="dxa"/>
            <w:tcBorders/>
            <w:vAlign w:val="bottom"/>
          </w:tcPr>
          <w:p>
            <w:pPr>
              <w:pStyle w:val="TableContents"/>
              <w:bidi w:val="0"/>
              <w:spacing w:before="0" w:after="283"/>
              <w:jc w:val="left"/>
              <w:rPr/>
            </w:pPr>
            <w:r>
              <w:rPr/>
              <w:t>Counterparts</w:t>
            </w:r>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8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13.11</w:t>
            </w:r>
          </w:p>
        </w:tc>
        <w:tc>
          <w:tcPr>
            <w:tcW w:w="110" w:type="dxa"/>
            <w:tcBorders/>
            <w:vAlign w:val="bottom"/>
          </w:tcPr>
          <w:p>
            <w:pPr>
              <w:pStyle w:val="TableContents"/>
              <w:bidi w:val="0"/>
              <w:spacing w:before="0" w:after="283"/>
              <w:jc w:val="left"/>
              <w:rPr/>
            </w:pPr>
            <w:r>
              <w:rPr/>
              <w:t> </w:t>
            </w:r>
          </w:p>
        </w:tc>
        <w:tc>
          <w:tcPr>
            <w:tcW w:w="7491" w:type="dxa"/>
            <w:tcBorders/>
            <w:vAlign w:val="bottom"/>
          </w:tcPr>
          <w:p>
            <w:pPr>
              <w:pStyle w:val="TableContents"/>
              <w:bidi w:val="0"/>
              <w:spacing w:before="0" w:after="283"/>
              <w:jc w:val="left"/>
              <w:rPr/>
            </w:pPr>
            <w:r>
              <w:rPr/>
              <w:t>Separability</w:t>
            </w:r>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86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13.12</w:t>
            </w:r>
          </w:p>
        </w:tc>
        <w:tc>
          <w:tcPr>
            <w:tcW w:w="110" w:type="dxa"/>
            <w:tcBorders/>
            <w:vAlign w:val="bottom"/>
          </w:tcPr>
          <w:p>
            <w:pPr>
              <w:pStyle w:val="TableContents"/>
              <w:bidi w:val="0"/>
              <w:spacing w:before="0" w:after="283"/>
              <w:jc w:val="left"/>
              <w:rPr/>
            </w:pPr>
            <w:r>
              <w:rPr/>
              <w:t> </w:t>
            </w:r>
          </w:p>
        </w:tc>
        <w:tc>
          <w:tcPr>
            <w:tcW w:w="7491" w:type="dxa"/>
            <w:tcBorders/>
            <w:vAlign w:val="bottom"/>
          </w:tcPr>
          <w:p>
            <w:pPr>
              <w:pStyle w:val="TableContents"/>
              <w:bidi w:val="0"/>
              <w:spacing w:before="0" w:after="283"/>
              <w:jc w:val="left"/>
              <w:rPr/>
            </w:pPr>
            <w:r>
              <w:rPr/>
              <w:t>Compliance Certificates</w:t>
            </w:r>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9465" w:type="dxa"/>
            <w:gridSpan w:val="3"/>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946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14 SUBORDINATION OF SECURITIES</w:t>
            </w:r>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rHeight w:val="120" w:hRule="atLeast"/>
        </w:trPr>
        <w:tc>
          <w:tcPr>
            <w:tcW w:w="1864" w:type="dxa"/>
            <w:tcBorders/>
            <w:vAlign w:val="center"/>
          </w:tcPr>
          <w:p>
            <w:pPr>
              <w:pStyle w:val="TableContents"/>
              <w:bidi w:val="0"/>
              <w:spacing w:before="0" w:after="283"/>
              <w:jc w:val="left"/>
              <w:rPr>
                <w:sz w:val="4"/>
                <w:szCs w:val="4"/>
              </w:rPr>
            </w:pPr>
            <w:r>
              <w:rPr>
                <w:sz w:val="4"/>
                <w:szCs w:val="4"/>
              </w:rPr>
            </w:r>
          </w:p>
        </w:tc>
        <w:tc>
          <w:tcPr>
            <w:tcW w:w="7601" w:type="dxa"/>
            <w:gridSpan w:val="2"/>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r>
      <w:tr>
        <w:trPr/>
        <w:tc>
          <w:tcPr>
            <w:tcW w:w="1864" w:type="dxa"/>
            <w:tcBorders/>
          </w:tcPr>
          <w:p>
            <w:pPr>
              <w:pStyle w:val="TableContents"/>
              <w:bidi w:val="0"/>
              <w:spacing w:before="0" w:after="0"/>
              <w:jc w:val="left"/>
              <w:rPr>
                <w:rFonts w:ascii="Times New Roman" w:hAnsi="Times New Roman"/>
                <w:sz w:val="20"/>
              </w:rPr>
            </w:pPr>
            <w:r>
              <w:rPr>
                <w:rFonts w:ascii="Times New Roman" w:hAnsi="Times New Roman"/>
                <w:sz w:val="20"/>
              </w:rPr>
              <w:t>Section 14.01</w:t>
            </w:r>
          </w:p>
        </w:tc>
        <w:tc>
          <w:tcPr>
            <w:tcW w:w="110" w:type="dxa"/>
            <w:tcBorders/>
            <w:vAlign w:val="bottom"/>
          </w:tcPr>
          <w:p>
            <w:pPr>
              <w:pStyle w:val="TableContents"/>
              <w:bidi w:val="0"/>
              <w:spacing w:before="0" w:after="283"/>
              <w:jc w:val="left"/>
              <w:rPr/>
            </w:pPr>
            <w:r>
              <w:rPr/>
              <w:t> </w:t>
            </w:r>
          </w:p>
        </w:tc>
        <w:tc>
          <w:tcPr>
            <w:tcW w:w="7491" w:type="dxa"/>
            <w:tcBorders/>
            <w:vAlign w:val="bottom"/>
          </w:tcPr>
          <w:p>
            <w:pPr>
              <w:pStyle w:val="TableContents"/>
              <w:bidi w:val="0"/>
              <w:spacing w:before="0" w:after="283"/>
              <w:jc w:val="left"/>
              <w:rPr/>
            </w:pPr>
            <w:r>
              <w:rPr/>
              <w:t>Subordination Terms</w:t>
            </w:r>
          </w:p>
        </w:tc>
        <w:tc>
          <w:tcPr>
            <w:tcW w:w="16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 xml:space="preserve">INDENTURE, </w:t>
      </w:r>
      <w:r>
        <w:rPr>
          <w:rFonts w:ascii="Times New Roman" w:hAnsi="Times New Roman"/>
          <w:sz w:val="20"/>
        </w:rPr>
        <w:t xml:space="preserve">dated as of [    ], among </w:t>
      </w:r>
      <w:r>
        <w:rPr>
          <w:rFonts w:ascii="Times New Roman" w:hAnsi="Times New Roman"/>
          <w:b/>
          <w:sz w:val="20"/>
        </w:rPr>
        <w:t>BRIDGEBIO ONCOLOGY THERAPEUTICS, INC.,</w:t>
      </w:r>
      <w:r>
        <w:rPr>
          <w:rFonts w:ascii="Times New Roman" w:hAnsi="Times New Roman"/>
          <w:sz w:val="20"/>
        </w:rPr>
        <w:t xml:space="preserve"> a Delaware corporation (the “Company”), and [</w:t>
      </w:r>
      <w:r>
        <w:rPr>
          <w:rFonts w:ascii="Times New Roman" w:hAnsi="Times New Roman"/>
          <w:b/>
          <w:sz w:val="20"/>
        </w:rPr>
        <w:t>TRUSTEE</w:t>
      </w:r>
      <w:r>
        <w:rPr>
          <w:rFonts w:ascii="Times New Roman" w:hAnsi="Times New Roman"/>
          <w:sz w:val="20"/>
        </w:rPr>
        <w:t xml:space="preserve">], as trustee (the “Trustee”):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 of Terms</w:t>
      </w:r>
      <w:r>
        <w:rPr>
          <w:rFonts w:ascii="Times New Roman" w:hAnsi="Times New Roman"/>
          <w:sz w:val="20"/>
        </w:rPr>
        <w:t xml:space="preserve">. 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b/>
          <w:i/>
          <w:sz w:val="20"/>
        </w:rPr>
        <w:t>Authenticating Agent</w:t>
      </w:r>
      <w:r>
        <w:rPr>
          <w:rFonts w:ascii="Times New Roman" w:hAnsi="Times New Roman"/>
          <w:sz w:val="20"/>
        </w:rPr>
        <w:t xml:space="preserve">” means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b/>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b/>
          <w:i/>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240" w:after="0"/>
        <w:jc w:val="left"/>
        <w:rPr/>
      </w:pPr>
      <w:r>
        <w:rPr/>
        <w:t>“</w:t>
      </w:r>
      <w:r>
        <w:rPr>
          <w:rFonts w:ascii="Times New Roman" w:hAnsi="Times New Roman"/>
          <w:b/>
          <w:i/>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pPr>
      <w:r>
        <w:rPr/>
        <w:t>“</w:t>
      </w:r>
      <w:r>
        <w:rPr>
          <w:rFonts w:ascii="Times New Roman" w:hAnsi="Times New Roman"/>
          <w:b/>
          <w:i/>
          <w:sz w:val="20"/>
        </w:rPr>
        <w:t>Certificate</w:t>
      </w:r>
      <w:r>
        <w:rPr>
          <w:rFonts w:ascii="Times New Roman" w:hAnsi="Times New Roman"/>
          <w:sz w:val="20"/>
        </w:rPr>
        <w:t xml:space="preserve">” means a certificate signed by any Officer. The Certificate need not comply with the provisions of Section 13.07.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w:t>
      </w:r>
      <w:r>
        <w:rPr>
          <w:rFonts w:ascii="Times New Roman" w:hAnsi="Times New Roman"/>
          <w:sz w:val="20"/>
        </w:rPr>
        <w:t xml:space="preserve">” means BridgeBio Oncology Therapeutics, Inc., a corporation duly organized and existing under the laws of the State of Delaware, and, subject to the provisions of Article Ten, shall also include its successors and assigns. </w:t>
      </w:r>
    </w:p>
    <w:p>
      <w:pPr>
        <w:pStyle w:val="TextBody"/>
        <w:bidi w:val="0"/>
        <w:spacing w:before="240" w:after="0"/>
        <w:jc w:val="left"/>
        <w:rPr/>
      </w:pPr>
      <w:r>
        <w:rPr/>
        <w:t>“</w:t>
      </w:r>
      <w:r>
        <w:rPr>
          <w:rFonts w:ascii="Times New Roman" w:hAnsi="Times New Roman"/>
          <w:b/>
          <w:i/>
          <w:sz w:val="20"/>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hereof is located at [    ]. </w:t>
      </w:r>
    </w:p>
    <w:p>
      <w:pPr>
        <w:pStyle w:val="TextBody"/>
        <w:bidi w:val="0"/>
        <w:spacing w:before="240" w:after="0"/>
        <w:jc w:val="left"/>
        <w:rPr/>
      </w:pPr>
      <w:r>
        <w:rPr/>
        <w:t>“</w:t>
      </w:r>
      <w:r>
        <w:rPr>
          <w:rFonts w:ascii="Times New Roman" w:hAnsi="Times New Roman"/>
          <w:b/>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pPr>
      <w:r>
        <w:rPr/>
        <w:t>“</w:t>
      </w:r>
      <w:r>
        <w:rPr>
          <w:rFonts w:ascii="Times New Roman" w:hAnsi="Times New Roman"/>
          <w:b/>
          <w:i/>
          <w:sz w:val="20"/>
        </w:rPr>
        <w:t>Defaulted Interest</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pPr>
      <w:r>
        <w:rPr/>
        <w:t>“</w:t>
      </w:r>
      <w:r>
        <w:rPr>
          <w:rFonts w:ascii="Times New Roman" w:hAnsi="Times New Roman"/>
          <w:b/>
          <w:i/>
          <w:sz w:val="20"/>
        </w:rPr>
        <w:t>Event of Default</w:t>
      </w:r>
      <w:r>
        <w:rPr>
          <w:rFonts w:ascii="Times New Roman" w:hAnsi="Times New Roman"/>
          <w:sz w:val="20"/>
        </w:rPr>
        <w:t xml:space="preserve">” means, with respect to Securities of a particular series, any event specified in Section 6.01, continued for the period of time, if any, therein designated.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pPr>
      <w:r>
        <w:rPr/>
        <w:t>“</w:t>
      </w:r>
      <w:r>
        <w:rPr>
          <w:rFonts w:ascii="Times New Roman" w:hAnsi="Times New Roman"/>
          <w:b/>
          <w:i/>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b/>
          <w:i/>
          <w:sz w:val="20"/>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b/>
          <w:i/>
          <w:sz w:val="20"/>
        </w:rPr>
        <w:t>herein</w:t>
      </w:r>
      <w:r>
        <w:rPr>
          <w:rFonts w:ascii="Times New Roman" w:hAnsi="Times New Roman"/>
          <w:sz w:val="20"/>
        </w:rPr>
        <w:t>”, “</w:t>
      </w:r>
      <w:r>
        <w:rPr>
          <w:rFonts w:ascii="Times New Roman" w:hAnsi="Times New Roman"/>
          <w:b/>
          <w:i/>
          <w:sz w:val="20"/>
        </w:rPr>
        <w:t>hereof</w:t>
      </w:r>
      <w:r>
        <w:rPr>
          <w:rFonts w:ascii="Times New Roman" w:hAnsi="Times New Roman"/>
          <w:sz w:val="20"/>
        </w:rPr>
        <w:t>” and “</w:t>
      </w:r>
      <w:r>
        <w:rPr>
          <w:rFonts w:ascii="Times New Roman" w:hAnsi="Times New Roman"/>
          <w:b/>
          <w:i/>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b/>
          <w:i/>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240" w:after="0"/>
        <w:jc w:val="left"/>
        <w:rPr/>
      </w:pPr>
      <w:r>
        <w:rPr/>
        <w:t>“</w:t>
      </w:r>
      <w:r>
        <w:rPr>
          <w:rFonts w:ascii="Times New Roman" w:hAnsi="Times New Roman"/>
          <w:b/>
          <w:i/>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pPr>
      <w:r>
        <w:rPr/>
        <w:t>“</w:t>
      </w:r>
      <w:r>
        <w:rPr>
          <w:rFonts w:ascii="Times New Roman" w:hAnsi="Times New Roman"/>
          <w:b/>
          <w:i/>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Officer’s Certificate</w:t>
      </w:r>
      <w:r>
        <w:rPr>
          <w:rFonts w:ascii="Times New Roman" w:hAnsi="Times New Roman"/>
          <w:sz w:val="20"/>
        </w:rPr>
        <w:t xml:space="preserve">” means a certificate signed by any Officer. Each such certificate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Outstanding</w:t>
      </w:r>
      <w:r>
        <w:rPr>
          <w:rFonts w:ascii="Times New Roman" w:hAnsi="Times New Roman"/>
          <w:sz w:val="20"/>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pPr>
      <w:r>
        <w:rPr/>
        <w:t>“</w:t>
      </w:r>
      <w:r>
        <w:rPr>
          <w:rFonts w:ascii="Times New Roman" w:hAnsi="Times New Roman"/>
          <w:b/>
          <w:i/>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b/>
          <w:i/>
          <w:sz w:val="20"/>
        </w:rPr>
        <w:t>Responsible Officer</w:t>
      </w:r>
      <w:r>
        <w:rPr>
          <w:rFonts w:ascii="Times New Roman" w:hAnsi="Times New Roman"/>
          <w:sz w:val="20"/>
        </w:rPr>
        <w:t xml:space="preserve">” when used with respect to the Trustee means any officer of the Trustee assigned by the Trustee to administer its corporate trust matters with respect to this Indenture (which, for the avoidance of doubt, includes without limitation any supplemental indenture hereto). </w:t>
      </w:r>
    </w:p>
    <w:p>
      <w:pPr>
        <w:pStyle w:val="TextBody"/>
        <w:bidi w:val="0"/>
        <w:spacing w:before="240" w:after="0"/>
        <w:jc w:val="left"/>
        <w:rPr/>
      </w:pPr>
      <w:r>
        <w:rPr/>
        <w:t>“</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i/>
          <w:sz w:val="20"/>
        </w:rPr>
        <w:t>Securityholder</w:t>
      </w:r>
      <w:r>
        <w:rPr>
          <w:rFonts w:ascii="Times New Roman" w:hAnsi="Times New Roman"/>
          <w:sz w:val="20"/>
        </w:rPr>
        <w:t>”, “</w:t>
      </w:r>
      <w:r>
        <w:rPr>
          <w:rFonts w:ascii="Times New Roman" w:hAnsi="Times New Roman"/>
          <w:b/>
          <w:i/>
          <w:sz w:val="20"/>
        </w:rPr>
        <w:t>holder of Securities</w:t>
      </w:r>
      <w:r>
        <w:rPr>
          <w:rFonts w:ascii="Times New Roman" w:hAnsi="Times New Roman"/>
          <w:sz w:val="20"/>
        </w:rPr>
        <w:t>”, “</w:t>
      </w:r>
      <w:r>
        <w:rPr>
          <w:rFonts w:ascii="Times New Roman" w:hAnsi="Times New Roman"/>
          <w:b/>
          <w:i/>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240" w:after="0"/>
        <w:jc w:val="left"/>
        <w:rPr/>
      </w:pPr>
      <w:r>
        <w:rPr/>
        <w:t>“</w:t>
      </w:r>
      <w:r>
        <w:rPr>
          <w:rFonts w:ascii="Times New Roman" w:hAnsi="Times New Roman"/>
          <w:b/>
          <w:i/>
          <w:sz w:val="20"/>
        </w:rPr>
        <w:t>Security Register</w:t>
      </w:r>
      <w:r>
        <w:rPr>
          <w:rFonts w:ascii="Times New Roman" w:hAnsi="Times New Roman"/>
          <w:sz w:val="20"/>
        </w:rPr>
        <w:t>” and “</w:t>
      </w:r>
      <w:r>
        <w:rPr>
          <w:rFonts w:ascii="Times New Roman" w:hAnsi="Times New Roman"/>
          <w:b/>
          <w:i/>
          <w:sz w:val="20"/>
        </w:rPr>
        <w:t>Security Registrar</w:t>
      </w:r>
      <w:r>
        <w:rPr>
          <w:rFonts w:ascii="Times New Roman" w:hAnsi="Times New Roman"/>
          <w:sz w:val="20"/>
        </w:rPr>
        <w:t xml:space="preserve">” shall have the meanings as set forth in Section 2.05.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(1) any corporation or company a majority of whose capital stock with voting power, under ordinary circumstances, to elect directors is, at the date of determination, directly or indirectly, owned by such Person (a “</w:t>
      </w:r>
      <w:r>
        <w:rPr>
          <w:rFonts w:ascii="Times New Roman" w:hAnsi="Times New Roman"/>
          <w:b/>
          <w:i/>
          <w:sz w:val="20"/>
        </w:rPr>
        <w:t>subsidiary</w:t>
      </w:r>
      <w:r>
        <w:rPr>
          <w:rFonts w:ascii="Times New Roman" w:hAnsi="Times New Roman"/>
          <w:sz w:val="20"/>
        </w:rPr>
        <w:t xml:space="preserve">”), by one or more subsidiaries of such Person or by such Person and one or more subsidiaries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(2) a partnership in which such Person or a subsidiary of such Person is, at the date of determination, a general partner of such partnership; or </w:t>
      </w:r>
    </w:p>
    <w:p>
      <w:pPr>
        <w:pStyle w:val="TextBody"/>
        <w:bidi w:val="0"/>
        <w:spacing w:before="240" w:after="0"/>
        <w:jc w:val="left"/>
        <w:rPr>
          <w:rFonts w:ascii="Times New Roman" w:hAnsi="Times New Roman"/>
          <w:sz w:val="20"/>
        </w:rPr>
      </w:pPr>
      <w:r>
        <w:rPr>
          <w:rFonts w:ascii="Times New Roman" w:hAnsi="Times New Roman"/>
          <w:sz w:val="20"/>
        </w:rPr>
        <w:t xml:space="preserve">(3) 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Trustee</w:t>
      </w:r>
      <w:r>
        <w:rPr>
          <w:rFonts w:ascii="Times New Roman" w:hAnsi="Times New Roman"/>
          <w:sz w:val="20"/>
        </w:rPr>
        <w:t>” means [</w:t>
      </w:r>
      <w:r>
        <w:rPr>
          <w:rFonts w:ascii="Times New Roman" w:hAnsi="Times New Roman"/>
          <w:b/>
          <w:sz w:val="20"/>
        </w:rPr>
        <w:t>TRUSTEE</w:t>
      </w:r>
      <w:r>
        <w:rPr>
          <w:rFonts w:ascii="Times New Roman" w:hAnsi="Times New Roman"/>
          <w:sz w:val="20"/>
        </w:rPr>
        <w:t xml:space="preserve">], and, subject to the provisions of Article Seven, shall also include its successors and assigns, and, if at any time there is more than one Person acting in such capacity hereunder, “Trustee” shall mean each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b/>
          <w:i/>
          <w:sz w:val="20"/>
        </w:rPr>
        <w:t>Trust Indenture Act</w:t>
      </w:r>
      <w:r>
        <w:rPr>
          <w:rFonts w:ascii="Times New Roman" w:hAnsi="Times New Roman"/>
          <w:sz w:val="20"/>
        </w:rPr>
        <w:t xml:space="preserve">” means the Trust Indenture Act of 1939, as amended.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ISSUE, DESCRIPTION, TERMS, EXECUTION, REGISTRATION AND EXCHANGE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Designation and Terms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sz w:val="20"/>
        </w:rPr>
        <w:t xml:space="preserve">(a) the title of the Securities of the series (which shall distinguish the Securities of that series from all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(b) 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(c) the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(d)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(e) the rate or rates at which the Securities of the series shall bear interest or the manner of calculation of such rate or rates, if any; </w:t>
      </w:r>
    </w:p>
    <w:p>
      <w:pPr>
        <w:pStyle w:val="TextBody"/>
        <w:bidi w:val="0"/>
        <w:spacing w:before="240" w:after="0"/>
        <w:jc w:val="left"/>
        <w:rPr>
          <w:rFonts w:ascii="Times New Roman" w:hAnsi="Times New Roman"/>
          <w:sz w:val="20"/>
        </w:rPr>
      </w:pPr>
      <w:r>
        <w:rPr>
          <w:rFonts w:ascii="Times New Roman" w:hAnsi="Times New Roman"/>
          <w:sz w:val="20"/>
        </w:rPr>
        <w:t xml:space="preserve">(f) 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p>
      <w:pPr>
        <w:pStyle w:val="TextBody"/>
        <w:bidi w:val="0"/>
        <w:spacing w:before="240" w:after="0"/>
        <w:jc w:val="left"/>
        <w:rPr>
          <w:rFonts w:ascii="Times New Roman" w:hAnsi="Times New Roman"/>
          <w:sz w:val="20"/>
        </w:rPr>
      </w:pPr>
      <w:r>
        <w:rPr>
          <w:rFonts w:ascii="Times New Roman" w:hAnsi="Times New Roman"/>
          <w:sz w:val="20"/>
        </w:rPr>
        <w:t xml:space="preserve">(g) the right, if any, to extend the interest payment periods and the duration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(h) the period or periods within which, the price or prices at which and the terms and conditions upon which Securities of the series may be redeemed, converted or exchanged, in whole or in part;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(j) 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sz w:val="20"/>
        </w:rPr>
        <w:t xml:space="preserve">(k) if other than denominations of one thousand U.S. dollars ($1,000) or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(l) 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(m)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(n) 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 </w:t>
      </w:r>
    </w:p>
    <w:p>
      <w:pPr>
        <w:pStyle w:val="TextBody"/>
        <w:bidi w:val="0"/>
        <w:spacing w:before="240" w:after="0"/>
        <w:jc w:val="left"/>
        <w:rPr>
          <w:rFonts w:ascii="Times New Roman" w:hAnsi="Times New Roman"/>
          <w:sz w:val="20"/>
        </w:rPr>
      </w:pPr>
      <w:r>
        <w:rPr>
          <w:rFonts w:ascii="Times New Roman" w:hAnsi="Times New Roman"/>
          <w:sz w:val="20"/>
        </w:rPr>
        <w:t xml:space="preserve">(o) 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240" w:after="0"/>
        <w:jc w:val="left"/>
        <w:rPr>
          <w:rFonts w:ascii="Times New Roman" w:hAnsi="Times New Roman"/>
          <w:sz w:val="20"/>
        </w:rPr>
      </w:pPr>
      <w:r>
        <w:rPr>
          <w:rFonts w:ascii="Times New Roman" w:hAnsi="Times New Roman"/>
          <w:sz w:val="20"/>
        </w:rPr>
        <w:t xml:space="preserve">(p) any additional or alternative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(q) 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(r) 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 </w:t>
      </w:r>
    </w:p>
    <w:p>
      <w:pPr>
        <w:pStyle w:val="TextBody"/>
        <w:bidi w:val="0"/>
        <w:spacing w:before="240" w:after="0"/>
        <w:jc w:val="left"/>
        <w:rPr>
          <w:rFonts w:ascii="Times New Roman" w:hAnsi="Times New Roman"/>
          <w:sz w:val="20"/>
        </w:rPr>
      </w:pPr>
      <w:r>
        <w:rPr>
          <w:rFonts w:ascii="Times New Roman" w:hAnsi="Times New Roman"/>
          <w:sz w:val="20"/>
        </w:rPr>
        <w:t xml:space="preserve">(s) 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whether interest will be payable in cash or additional Securities at the Company’s or the Securityholders’ option and the terms and conditions upon which the election may be made; </w:t>
      </w:r>
    </w:p>
    <w:p>
      <w:pPr>
        <w:pStyle w:val="TextBody"/>
        <w:bidi w:val="0"/>
        <w:spacing w:before="240" w:after="0"/>
        <w:jc w:val="left"/>
        <w:rPr>
          <w:rFonts w:ascii="Times New Roman" w:hAnsi="Times New Roman"/>
          <w:sz w:val="20"/>
        </w:rPr>
      </w:pPr>
      <w:r>
        <w:rPr>
          <w:rFonts w:ascii="Times New Roman" w:hAnsi="Times New Roman"/>
          <w:sz w:val="20"/>
        </w:rPr>
        <w:t xml:space="preserve">(u)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240" w:after="0"/>
        <w:jc w:val="left"/>
        <w:rPr>
          <w:rFonts w:ascii="Times New Roman" w:hAnsi="Times New Roman"/>
          <w:sz w:val="20"/>
        </w:rPr>
      </w:pPr>
      <w:r>
        <w:rPr>
          <w:rFonts w:ascii="Times New Roman" w:hAnsi="Times New Roman"/>
          <w:sz w:val="20"/>
        </w:rPr>
        <w:t xml:space="preserve">(v) additional or alternative provisions, if any, related to defeasance and discharge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 the applicability of any guarantees; </w:t>
      </w:r>
    </w:p>
    <w:p>
      <w:pPr>
        <w:pStyle w:val="TextBody"/>
        <w:bidi w:val="0"/>
        <w:spacing w:before="240" w:after="0"/>
        <w:jc w:val="left"/>
        <w:rPr>
          <w:rFonts w:ascii="Times New Roman" w:hAnsi="Times New Roman"/>
          <w:sz w:val="20"/>
        </w:rPr>
      </w:pPr>
      <w:r>
        <w:rPr>
          <w:rFonts w:ascii="Times New Roman" w:hAnsi="Times New Roman"/>
          <w:sz w:val="20"/>
        </w:rPr>
        <w:t xml:space="preserve">(x) any restrictions on transfer, sale or assignment of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(y) any other terms of the series; and </w:t>
      </w:r>
    </w:p>
    <w:p>
      <w:pPr>
        <w:pStyle w:val="TextBody"/>
        <w:bidi w:val="0"/>
        <w:spacing w:before="240" w:after="0"/>
        <w:jc w:val="left"/>
        <w:rPr>
          <w:rFonts w:ascii="Times New Roman" w:hAnsi="Times New Roman"/>
          <w:sz w:val="20"/>
        </w:rPr>
      </w:pPr>
      <w:r>
        <w:rPr>
          <w:rFonts w:ascii="Times New Roman" w:hAnsi="Times New Roman"/>
          <w:sz w:val="20"/>
        </w:rPr>
        <w:t xml:space="preserve">(z) the subordination terms of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of Securities and Trustee’s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Denominations: Provisions for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240" w:after="0"/>
        <w:jc w:val="left"/>
        <w:rPr>
          <w:rFonts w:ascii="Times New Roman" w:hAnsi="Times New Roman"/>
          <w:sz w:val="20"/>
        </w:rPr>
      </w:pPr>
      <w:r>
        <w:rPr>
          <w:rFonts w:ascii="Times New Roman" w:hAnsi="Times New Roman"/>
          <w:sz w:val="20"/>
        </w:rPr>
        <w:t xml:space="preserve">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sz w:val="20"/>
        </w:rPr>
        <w:t xml:space="preserve">(1) 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w:t>
      </w:r>
    </w:p>
    <w:p>
      <w:pPr>
        <w:pStyle w:val="TextBody"/>
        <w:bidi w:val="0"/>
        <w:spacing w:before="240" w:after="0"/>
        <w:jc w:val="left"/>
        <w:rPr>
          <w:rFonts w:ascii="Times New Roman" w:hAnsi="Times New Roman"/>
          <w:sz w:val="20"/>
        </w:rPr>
      </w:pPr>
      <w:r>
        <w:rPr>
          <w:rFonts w:ascii="Times New Roman" w:hAnsi="Times New Roman"/>
          <w:sz w:val="20"/>
        </w:rPr>
        <w:t xml:space="preserve">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 </w:t>
      </w:r>
    </w:p>
    <w:p>
      <w:pPr>
        <w:pStyle w:val="TextBody"/>
        <w:bidi w:val="0"/>
        <w:spacing w:before="240" w:after="0"/>
        <w:jc w:val="left"/>
        <w:rPr>
          <w:rFonts w:ascii="Times New Roman" w:hAnsi="Times New Roman"/>
          <w:sz w:val="20"/>
        </w:rPr>
      </w:pPr>
      <w:r>
        <w:rPr>
          <w:rFonts w:ascii="Times New Roman" w:hAnsi="Times New Roman"/>
          <w:sz w:val="20"/>
        </w:rPr>
        <w:t xml:space="preserve">(2)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Execution and Authentications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(2) 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240" w:after="0"/>
        <w:jc w:val="left"/>
        <w:rPr>
          <w:rFonts w:ascii="Times New Roman" w:hAnsi="Times New Roman"/>
          <w:sz w:val="20"/>
        </w:rPr>
      </w:pPr>
      <w:r>
        <w:rPr>
          <w:rFonts w:ascii="Times New Roman" w:hAnsi="Times New Roman"/>
          <w:sz w:val="20"/>
        </w:rPr>
        <w:t xml:space="preserve">(3)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Mutilated, Destroyed, Lost or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24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(2)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(3)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(2)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Payment Upon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240" w:after="0"/>
        <w:jc w:val="left"/>
        <w:rPr>
          <w:rFonts w:ascii="Times New Roman" w:hAnsi="Times New Roman"/>
          <w:sz w:val="20"/>
        </w:rPr>
      </w:pPr>
      <w:r>
        <w:rPr>
          <w:rFonts w:ascii="Times New Roman" w:hAnsi="Times New Roman"/>
          <w:sz w:val="20"/>
        </w:rPr>
        <w:t xml:space="preserve">(2) 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Payment of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(a)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(b)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(c) 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before="240" w:after="0"/>
        <w:jc w:val="left"/>
        <w:rPr>
          <w:rFonts w:ascii="Times New Roman" w:hAnsi="Times New Roman"/>
          <w:sz w:val="20"/>
        </w:rPr>
      </w:pPr>
      <w:r>
        <w:rPr>
          <w:rFonts w:ascii="Times New Roman" w:hAnsi="Times New Roman"/>
          <w:sz w:val="20"/>
        </w:rPr>
        <w:t xml:space="preserve">(d) that it will perform all other duties of paying agent as set forth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(2)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(3)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Appointment to Fill Vacancy in Office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Compliance with Consolidation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SECURITYHOLDERS’ LISTS AND REPORTS BY THE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Company to Furnish Trustee Names and Addresses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Preservation Of Information; Communications With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(3)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Reports by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 </w:t>
      </w:r>
    </w:p>
    <w:p>
      <w:pPr>
        <w:pStyle w:val="TextBody"/>
        <w:bidi w:val="0"/>
        <w:spacing w:before="240" w:after="0"/>
        <w:jc w:val="left"/>
        <w:rPr>
          <w:rFonts w:ascii="Times New Roman" w:hAnsi="Times New Roman"/>
          <w:sz w:val="20"/>
        </w:rPr>
      </w:pPr>
      <w:r>
        <w:rPr>
          <w:rFonts w:ascii="Times New Roman" w:hAnsi="Times New Roman"/>
          <w:sz w:val="20"/>
        </w:rPr>
        <w:t xml:space="preserve">(2)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Reports by the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(2)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(3)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REMEDIES OF THE TRUSTEE AND SECURITYHOLDERS ON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Whenever used herein with respect to Securities of a particular series, “Event of Default”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(a)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(d)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sz w:val="20"/>
        </w:rPr>
        <w:t xml:space="preserve">(e)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(3)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(4)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(3)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(4)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Application of Moneys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indebtedness of the Company to which such series of Securities is subordinated to the extent required by Section 7.06 and any subordination terms of the series specified as contemplated by Article Fourteen;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Rights and Remedies Cumulative; 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(2)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Control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Responsible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Undertaking to Pay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Certain Duties and Responsibilities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(2) No provision of this Indenture shall be construed to relieve the Trustee from liability for its own negligent action, its own negligent failure to act, or its own willful misconduct, except that: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occurrence of an Event of Default with respect to the Securities of a series and after the curing or waiving of all such Events of Default with respect to that series that may have occurred: </w:t>
      </w:r>
    </w:p>
    <w:p>
      <w:pPr>
        <w:pStyle w:val="TextBody"/>
        <w:bidi w:val="0"/>
        <w:spacing w:before="240" w:after="0"/>
        <w:jc w:val="left"/>
        <w:rPr>
          <w:rFonts w:ascii="Times New Roman" w:hAnsi="Times New Roman"/>
          <w:sz w:val="20"/>
        </w:rPr>
      </w:pPr>
      <w:r>
        <w:rPr>
          <w:rFonts w:ascii="Times New Roman" w:hAnsi="Times New Roman"/>
          <w:sz w:val="20"/>
        </w:rPr>
        <w:t xml:space="preserve">(A)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or Responsible Officers of the Trustee,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(d)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t>
      </w:r>
    </w:p>
    <w:p>
      <w:pPr>
        <w:pStyle w:val="TextBody"/>
        <w:bidi w:val="0"/>
        <w:spacing w:before="120" w:after="0"/>
        <w:jc w:val="left"/>
        <w:rPr>
          <w:rFonts w:ascii="Times New Roman" w:hAnsi="Times New Roman"/>
          <w:sz w:val="20"/>
        </w:rPr>
      </w:pPr>
      <w:r>
        <w:rPr>
          <w:rFonts w:ascii="Times New Roman" w:hAnsi="Times New Roman"/>
          <w:sz w:val="20"/>
        </w:rPr>
        <w:t xml:space="preserve">(1) 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(2)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(3) The Trustee may consult with counsel and the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(4)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 </w:t>
      </w:r>
    </w:p>
    <w:p>
      <w:pPr>
        <w:pStyle w:val="TextBody"/>
        <w:bidi w:val="0"/>
        <w:spacing w:before="240" w:after="0"/>
        <w:jc w:val="left"/>
        <w:rPr>
          <w:rFonts w:ascii="Times New Roman" w:hAnsi="Times New Roman"/>
          <w:sz w:val="20"/>
        </w:rPr>
      </w:pPr>
      <w:r>
        <w:rPr>
          <w:rFonts w:ascii="Times New Roman" w:hAnsi="Times New Roman"/>
          <w:sz w:val="20"/>
        </w:rPr>
        <w:t xml:space="preserve">(5)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(6) 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sz w:val="20"/>
        </w:rPr>
        <w:t xml:space="preserve">(7)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(8)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(9) 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 </w:t>
      </w:r>
    </w:p>
    <w:p>
      <w:pPr>
        <w:pStyle w:val="TextBody"/>
        <w:bidi w:val="0"/>
        <w:spacing w:before="240" w:after="0"/>
        <w:jc w:val="left"/>
        <w:rPr>
          <w:rFonts w:ascii="Times New Roman" w:hAnsi="Times New Roman"/>
          <w:sz w:val="20"/>
        </w:rPr>
      </w:pPr>
      <w:r>
        <w:rPr>
          <w:rFonts w:ascii="Times New Roman" w:hAnsi="Times New Roman"/>
          <w:sz w:val="20"/>
        </w:rPr>
        <w:t xml:space="preserve">(10) 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Trustee shall not be deemed to have knowledge of any Default or Event of Default until the Trustee shall have received written notification in the manner set forth in this Indenture or a Responsible Officer of the Trustee shall have obtained actual knowledge.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Trustee Not Responsible for Recitals or Issuance or Securities.</w:t>
      </w:r>
    </w:p>
    <w:p>
      <w:pPr>
        <w:pStyle w:val="TextBody"/>
        <w:bidi w:val="0"/>
        <w:spacing w:before="240" w:after="0"/>
        <w:jc w:val="left"/>
        <w:rPr>
          <w:rFonts w:ascii="Times New Roman" w:hAnsi="Times New Roman"/>
          <w:sz w:val="20"/>
        </w:rPr>
      </w:pPr>
      <w:r>
        <w:rPr>
          <w:rFonts w:ascii="Times New Roman" w:hAnsi="Times New Roman"/>
          <w:sz w:val="20"/>
        </w:rPr>
        <w:t xml:space="preserve">(1) The recitals contained herein and in the Securities shall be taken as the statements of the Company, and the Trustee assumes no responsibility for the correctness of the same. </w:t>
      </w:r>
    </w:p>
    <w:p>
      <w:pPr>
        <w:pStyle w:val="TextBody"/>
        <w:bidi w:val="0"/>
        <w:spacing w:before="240" w:after="0"/>
        <w:jc w:val="left"/>
        <w:rPr>
          <w:rFonts w:ascii="Times New Roman" w:hAnsi="Times New Roman"/>
          <w:sz w:val="20"/>
        </w:rPr>
      </w:pPr>
      <w:r>
        <w:rPr>
          <w:rFonts w:ascii="Times New Roman" w:hAnsi="Times New Roman"/>
          <w:sz w:val="20"/>
        </w:rPr>
        <w:t xml:space="preserve">(2)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(3)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Moneys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Compensation and Reimbursement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(2) 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(3)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Reliance on Officer’s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Section 7.09 </w:t>
      </w:r>
      <w:r>
        <w:rPr>
          <w:rFonts w:ascii="Times New Roman" w:hAnsi="Times New Roman"/>
          <w:sz w:val="20"/>
          <w:u w:val="single"/>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(2)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(a)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cease to be eligible in accordance with the provisions of Section 7.09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sz w:val="20"/>
        </w:rPr>
        <w:t xml:space="preserve">(5)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(2)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sz w:val="20"/>
        </w:rPr>
        <w:t xml:space="preserve">(3) Upon request of any such successor trustee, the Company shall execute any and all instruments for more fully and certainly vesting in and confirming to such successor trustee all such rights, powers and trusts referred to in paragraph (1) or (2) of this Section,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(5) 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Preferential Collection of Claims Against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sz w:val="20"/>
          <w:u w:val="single"/>
        </w:rPr>
        <w:t>Notice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Evidence of Action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Proof of Execution by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sz w:val="20"/>
        </w:rPr>
        <w:t xml:space="preserve">(1)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(2)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Who May be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Certain Securities Owned by Company Disregarded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Actions Binding on Future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Supplemental Indentures Without the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(1)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(2) to comply with Article Ten; </w:t>
      </w:r>
    </w:p>
    <w:p>
      <w:pPr>
        <w:pStyle w:val="TextBody"/>
        <w:bidi w:val="0"/>
        <w:spacing w:before="240" w:after="0"/>
        <w:jc w:val="left"/>
        <w:rPr>
          <w:rFonts w:ascii="Times New Roman" w:hAnsi="Times New Roman"/>
          <w:sz w:val="20"/>
        </w:rPr>
      </w:pPr>
      <w:r>
        <w:rPr>
          <w:rFonts w:ascii="Times New Roman" w:hAnsi="Times New Roman"/>
          <w:sz w:val="20"/>
        </w:rPr>
        <w:t xml:space="preserve">(3)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(4)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sz w:val="20"/>
        </w:rPr>
        <w:t xml:space="preserve">(5) 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(6) 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(7)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(8) to evidence and provide for the acceptance of appointment hereunder by a successor trustee; or </w:t>
      </w:r>
    </w:p>
    <w:p>
      <w:pPr>
        <w:pStyle w:val="TextBody"/>
        <w:bidi w:val="0"/>
        <w:spacing w:before="240" w:after="0"/>
        <w:jc w:val="left"/>
        <w:rPr>
          <w:rFonts w:ascii="Times New Roman" w:hAnsi="Times New Roman"/>
          <w:sz w:val="20"/>
        </w:rPr>
      </w:pPr>
      <w:r>
        <w:rPr>
          <w:rFonts w:ascii="Times New Roman" w:hAnsi="Times New Roman"/>
          <w:sz w:val="20"/>
        </w:rPr>
        <w:t xml:space="preserve">(9) to comply with any requirements of the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Supplemental Indentures With Consent of Securityholders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Securities Affected by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Company May Consolidate,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w:t>
      </w:r>
    </w:p>
    <w:p>
      <w:pPr>
        <w:pStyle w:val="TextBody"/>
        <w:bidi w:val="0"/>
        <w:spacing w:before="240" w:after="0"/>
        <w:jc w:val="left"/>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 Entity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(2)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sz w:val="20"/>
        </w:rPr>
        <w:t xml:space="preserve">(3)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 xml:space="preserve">Section 11.01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11.02 </w:t>
      </w:r>
      <w:r>
        <w:rPr>
          <w:rFonts w:ascii="Times New Roman" w:hAnsi="Times New Roman"/>
          <w:sz w:val="20"/>
          <w:u w:val="single"/>
        </w:rPr>
        <w:t>Discharge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 xml:space="preserve">Thereafter, Sections 7.06 and 11.05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11.03 </w:t>
      </w:r>
      <w:r>
        <w:rPr>
          <w:rFonts w:ascii="Times New Roman" w:hAnsi="Times New Roman"/>
          <w:sz w:val="20"/>
          <w:u w:val="single"/>
        </w:rPr>
        <w:t>Deposited Moneys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11.04 </w:t>
      </w:r>
      <w:r>
        <w:rPr>
          <w:rFonts w:ascii="Times New Roman" w:hAnsi="Times New Roman"/>
          <w:sz w:val="20"/>
          <w:u w:val="single"/>
        </w:rPr>
        <w:t>Payment of Moneys Held by Paying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11.05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12.01 </w:t>
      </w:r>
      <w:r>
        <w:rPr>
          <w:rFonts w:ascii="Times New Roman" w:hAnsi="Times New Roman"/>
          <w:sz w:val="20"/>
          <w:u w:val="single"/>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13.01 </w:t>
      </w:r>
      <w:r>
        <w:rPr>
          <w:rFonts w:ascii="Times New Roman" w:hAnsi="Times New Roman"/>
          <w:sz w:val="20"/>
          <w:u w:val="single"/>
        </w:rPr>
        <w:t>Effect on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13.02 </w:t>
      </w:r>
      <w:r>
        <w:rPr>
          <w:rFonts w:ascii="Times New Roman" w:hAnsi="Times New Roman"/>
          <w:sz w:val="20"/>
          <w:u w:val="single"/>
        </w:rPr>
        <w:t>Actions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13.03 </w:t>
      </w:r>
      <w:r>
        <w:rPr>
          <w:rFonts w:ascii="Times New Roman" w:hAnsi="Times New Roman"/>
          <w:sz w:val="20"/>
          <w:u w:val="single"/>
        </w:rPr>
        <w:t>Surrender of Company Powers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13.04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13.05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deemed to be a contract made under the internal laws of the State of New York, and for all purposes shall be construed in accordance with the laws of said State,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13.06 </w:t>
      </w:r>
      <w:r>
        <w:rPr>
          <w:rFonts w:ascii="Times New Roman" w:hAnsi="Times New Roman"/>
          <w:sz w:val="20"/>
          <w:u w:val="single"/>
        </w:rPr>
        <w:t>Treatment of Securities as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sz w:val="20"/>
        </w:rPr>
      </w:pPr>
      <w:r>
        <w:rPr>
          <w:rFonts w:ascii="Times New Roman" w:hAnsi="Times New Roman"/>
          <w:sz w:val="20"/>
        </w:rPr>
        <w:t xml:space="preserve">Section 13.07 </w:t>
      </w:r>
      <w:r>
        <w:rPr>
          <w:rFonts w:ascii="Times New Roman" w:hAnsi="Times New Roman"/>
          <w:sz w:val="20"/>
          <w:u w:val="single"/>
        </w:rPr>
        <w:t>Certificates and Opinions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(2) 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13.08 </w:t>
      </w:r>
      <w:r>
        <w:rPr>
          <w:rFonts w:ascii="Times New Roman" w:hAnsi="Times New Roman"/>
          <w:sz w:val="20"/>
          <w:u w:val="single"/>
        </w:rPr>
        <w:t>Payments on 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240" w:after="0"/>
        <w:jc w:val="left"/>
        <w:rPr>
          <w:rFonts w:ascii="Times New Roman" w:hAnsi="Times New Roman"/>
          <w:sz w:val="20"/>
        </w:rPr>
      </w:pPr>
      <w:r>
        <w:rPr>
          <w:rFonts w:ascii="Times New Roman" w:hAnsi="Times New Roman"/>
          <w:sz w:val="20"/>
        </w:rPr>
        <w:t xml:space="preserve">Section 13.09 </w:t>
      </w:r>
      <w:r>
        <w:rPr>
          <w:rFonts w:ascii="Times New Roman" w:hAnsi="Times New Roman"/>
          <w:sz w:val="20"/>
          <w:u w:val="single"/>
        </w:rPr>
        <w:t>Conflict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Sections 310 to 317, inclusive, of the Trust Indenture Act, such imposed duties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13.10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13.11 </w:t>
      </w:r>
      <w:r>
        <w:rPr>
          <w:rFonts w:ascii="Times New Roman" w:hAnsi="Times New Roman"/>
          <w:sz w:val="20"/>
          <w:u w:val="single"/>
        </w:rPr>
        <w:t>Separability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13.12 </w:t>
      </w:r>
      <w:r>
        <w:rPr>
          <w:rFonts w:ascii="Times New Roman" w:hAnsi="Times New Roman"/>
          <w:sz w:val="20"/>
          <w:u w:val="single"/>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14 </w:t>
      </w:r>
    </w:p>
    <w:p>
      <w:pPr>
        <w:pStyle w:val="TextBody"/>
        <w:bidi w:val="0"/>
        <w:spacing w:before="120" w:after="0"/>
        <w:jc w:val="center"/>
        <w:rPr>
          <w:rFonts w:ascii="Times New Roman" w:hAnsi="Times New Roman"/>
          <w:b/>
          <w:sz w:val="20"/>
        </w:rPr>
      </w:pPr>
      <w:r>
        <w:rPr>
          <w:rFonts w:ascii="Times New Roman" w:hAnsi="Times New Roman"/>
          <w:b/>
          <w:sz w:val="20"/>
        </w:rPr>
        <w:t xml:space="preserve">SUBORDINATION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14.01 </w:t>
      </w:r>
      <w:r>
        <w:rPr>
          <w:rFonts w:ascii="Times New Roman" w:hAnsi="Times New Roman"/>
          <w:sz w:val="20"/>
          <w:u w:val="single"/>
        </w:rPr>
        <w:t>Subordination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payment by the Company of the principal of, premium, if any, and interest on any series of Securities issued hereunder shall be subordinated to the extent set forth in an indenture supplemental hereto relating to such series.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842"/>
        <w:gridCol w:w="179"/>
        <w:gridCol w:w="2061"/>
      </w:tblGrid>
      <w:tr>
        <w:trPr/>
        <w:tc>
          <w:tcPr>
            <w:tcW w:w="1842"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BRIDGEBIO ONCOLOGY THERAPEUTICS, INC.</w:t>
            </w:r>
          </w:p>
        </w:tc>
      </w:tr>
      <w:tr>
        <w:trPr>
          <w:trHeight w:val="240" w:hRule="atLeast"/>
        </w:trPr>
        <w:tc>
          <w:tcPr>
            <w:tcW w:w="1842"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r>
      <w:tr>
        <w:trPr/>
        <w:tc>
          <w:tcPr>
            <w:tcW w:w="1842" w:type="dxa"/>
            <w:tcBorders/>
          </w:tcPr>
          <w:p>
            <w:pPr>
              <w:pStyle w:val="TableContents"/>
              <w:bidi w:val="0"/>
              <w:spacing w:before="0" w:after="283"/>
              <w:jc w:val="left"/>
              <w:rPr/>
            </w:pPr>
            <w:r>
              <w:rPr/>
              <w:t>By:</w:t>
            </w:r>
          </w:p>
        </w:tc>
        <w:tc>
          <w:tcPr>
            <w:tcW w:w="179" w:type="dxa"/>
            <w:tcBorders/>
            <w:vAlign w:val="bottom"/>
          </w:tcPr>
          <w:p>
            <w:pPr>
              <w:pStyle w:val="TableContents"/>
              <w:bidi w:val="0"/>
              <w:spacing w:before="0" w:after="283"/>
              <w:jc w:val="left"/>
              <w:rPr/>
            </w:pPr>
            <w:r>
              <w:rPr/>
              <w:t> </w:t>
            </w:r>
          </w:p>
        </w:tc>
        <w:tc>
          <w:tcPr>
            <w:tcW w:w="2061" w:type="dxa"/>
            <w:tcBorders/>
          </w:tcPr>
          <w:p>
            <w:pPr>
              <w:pStyle w:val="TableContents"/>
              <w:bidi w:val="0"/>
              <w:spacing w:before="0" w:after="283"/>
              <w:jc w:val="left"/>
              <w:rPr>
                <w:sz w:val="4"/>
                <w:szCs w:val="4"/>
              </w:rPr>
            </w:pPr>
            <w:r>
              <w:rPr>
                <w:sz w:val="4"/>
                <w:szCs w:val="4"/>
              </w:rPr>
            </w:r>
          </w:p>
        </w:tc>
      </w:tr>
      <w:tr>
        <w:trPr/>
        <w:tc>
          <w:tcPr>
            <w:tcW w:w="1842" w:type="dxa"/>
            <w:tcBorders/>
          </w:tcPr>
          <w:p>
            <w:pPr>
              <w:pStyle w:val="TableContents"/>
              <w:bidi w:val="0"/>
              <w:spacing w:before="0" w:after="283"/>
              <w:jc w:val="left"/>
              <w:rPr/>
            </w:pPr>
            <w:r>
              <w:rPr/>
              <w:t>Name:</w:t>
            </w:r>
          </w:p>
        </w:tc>
        <w:tc>
          <w:tcPr>
            <w:tcW w:w="179" w:type="dxa"/>
            <w:tcBorders/>
            <w:vAlign w:val="bottom"/>
          </w:tcPr>
          <w:p>
            <w:pPr>
              <w:pStyle w:val="TableContents"/>
              <w:bidi w:val="0"/>
              <w:spacing w:before="0" w:after="283"/>
              <w:jc w:val="left"/>
              <w:rPr/>
            </w:pPr>
            <w:r>
              <w:rPr/>
              <w:t> </w:t>
            </w:r>
          </w:p>
        </w:tc>
        <w:tc>
          <w:tcPr>
            <w:tcW w:w="2061" w:type="dxa"/>
            <w:tcBorders/>
          </w:tcPr>
          <w:p>
            <w:pPr>
              <w:pStyle w:val="TableContents"/>
              <w:bidi w:val="0"/>
              <w:spacing w:before="0" w:after="283"/>
              <w:jc w:val="left"/>
              <w:rPr>
                <w:sz w:val="4"/>
                <w:szCs w:val="4"/>
              </w:rPr>
            </w:pPr>
            <w:r>
              <w:rPr>
                <w:sz w:val="4"/>
                <w:szCs w:val="4"/>
              </w:rPr>
            </w:r>
          </w:p>
        </w:tc>
      </w:tr>
      <w:tr>
        <w:trPr/>
        <w:tc>
          <w:tcPr>
            <w:tcW w:w="1842" w:type="dxa"/>
            <w:tcBorders/>
          </w:tcPr>
          <w:p>
            <w:pPr>
              <w:pStyle w:val="TableContents"/>
              <w:bidi w:val="0"/>
              <w:spacing w:before="0" w:after="283"/>
              <w:jc w:val="left"/>
              <w:rPr/>
            </w:pPr>
            <w:r>
              <w:rPr/>
              <w:t>Title:</w:t>
            </w:r>
          </w:p>
        </w:tc>
        <w:tc>
          <w:tcPr>
            <w:tcW w:w="179" w:type="dxa"/>
            <w:tcBorders/>
            <w:vAlign w:val="bottom"/>
          </w:tcPr>
          <w:p>
            <w:pPr>
              <w:pStyle w:val="TableContents"/>
              <w:bidi w:val="0"/>
              <w:spacing w:before="0" w:after="283"/>
              <w:jc w:val="left"/>
              <w:rPr/>
            </w:pPr>
            <w:r>
              <w:rPr/>
              <w:t> </w:t>
            </w:r>
          </w:p>
        </w:tc>
        <w:tc>
          <w:tcPr>
            <w:tcW w:w="2061" w:type="dxa"/>
            <w:tcBorders/>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[TRUSTEE]</w:t>
            </w:r>
            <w:r>
              <w:rPr/>
              <w:t>, as Trustee</w:t>
            </w:r>
          </w:p>
        </w:tc>
      </w:tr>
      <w:tr>
        <w:trPr>
          <w:trHeight w:val="240" w:hRule="atLeast"/>
        </w:trPr>
        <w:tc>
          <w:tcPr>
            <w:tcW w:w="1842" w:type="dxa"/>
            <w:tcBorders/>
            <w:vAlign w:val="center"/>
          </w:tcPr>
          <w:p>
            <w:pPr>
              <w:pStyle w:val="TableContents"/>
              <w:bidi w:val="0"/>
              <w:spacing w:before="0" w:after="283"/>
              <w:jc w:val="left"/>
              <w:rPr>
                <w:sz w:val="4"/>
                <w:szCs w:val="4"/>
              </w:rPr>
            </w:pPr>
            <w:r>
              <w:rPr>
                <w:sz w:val="4"/>
                <w:szCs w:val="4"/>
              </w:rPr>
            </w:r>
          </w:p>
        </w:tc>
        <w:tc>
          <w:tcPr>
            <w:tcW w:w="2240" w:type="dxa"/>
            <w:gridSpan w:val="2"/>
            <w:tcBorders/>
            <w:vAlign w:val="center"/>
          </w:tcPr>
          <w:p>
            <w:pPr>
              <w:pStyle w:val="TableContents"/>
              <w:bidi w:val="0"/>
              <w:spacing w:before="0" w:after="283"/>
              <w:jc w:val="left"/>
              <w:rPr>
                <w:sz w:val="4"/>
                <w:szCs w:val="4"/>
              </w:rPr>
            </w:pPr>
            <w:r>
              <w:rPr>
                <w:sz w:val="4"/>
                <w:szCs w:val="4"/>
              </w:rPr>
            </w:r>
          </w:p>
        </w:tc>
      </w:tr>
      <w:tr>
        <w:trPr/>
        <w:tc>
          <w:tcPr>
            <w:tcW w:w="1842" w:type="dxa"/>
            <w:tcBorders/>
          </w:tcPr>
          <w:p>
            <w:pPr>
              <w:pStyle w:val="TableContents"/>
              <w:bidi w:val="0"/>
              <w:spacing w:before="0" w:after="283"/>
              <w:jc w:val="left"/>
              <w:rPr/>
            </w:pPr>
            <w:r>
              <w:rPr/>
              <w:t>By:</w:t>
            </w:r>
          </w:p>
        </w:tc>
        <w:tc>
          <w:tcPr>
            <w:tcW w:w="179" w:type="dxa"/>
            <w:tcBorders/>
            <w:vAlign w:val="bottom"/>
          </w:tcPr>
          <w:p>
            <w:pPr>
              <w:pStyle w:val="TableContents"/>
              <w:bidi w:val="0"/>
              <w:spacing w:before="0" w:after="283"/>
              <w:jc w:val="left"/>
              <w:rPr/>
            </w:pPr>
            <w:r>
              <w:rPr/>
              <w:t> </w:t>
            </w:r>
          </w:p>
        </w:tc>
        <w:tc>
          <w:tcPr>
            <w:tcW w:w="2061" w:type="dxa"/>
            <w:tcBorders/>
          </w:tcPr>
          <w:p>
            <w:pPr>
              <w:pStyle w:val="TableContents"/>
              <w:bidi w:val="0"/>
              <w:spacing w:before="0" w:after="283"/>
              <w:jc w:val="left"/>
              <w:rPr>
                <w:sz w:val="4"/>
                <w:szCs w:val="4"/>
              </w:rPr>
            </w:pPr>
            <w:r>
              <w:rPr>
                <w:sz w:val="4"/>
                <w:szCs w:val="4"/>
              </w:rPr>
            </w:r>
          </w:p>
        </w:tc>
      </w:tr>
      <w:tr>
        <w:trPr/>
        <w:tc>
          <w:tcPr>
            <w:tcW w:w="1842" w:type="dxa"/>
            <w:tcBorders/>
          </w:tcPr>
          <w:p>
            <w:pPr>
              <w:pStyle w:val="TableContents"/>
              <w:bidi w:val="0"/>
              <w:spacing w:before="0" w:after="283"/>
              <w:jc w:val="left"/>
              <w:rPr/>
            </w:pPr>
            <w:r>
              <w:rPr/>
              <w:t>Name:</w:t>
            </w:r>
          </w:p>
        </w:tc>
        <w:tc>
          <w:tcPr>
            <w:tcW w:w="179" w:type="dxa"/>
            <w:tcBorders/>
            <w:vAlign w:val="bottom"/>
          </w:tcPr>
          <w:p>
            <w:pPr>
              <w:pStyle w:val="TableContents"/>
              <w:bidi w:val="0"/>
              <w:spacing w:before="0" w:after="283"/>
              <w:jc w:val="left"/>
              <w:rPr/>
            </w:pPr>
            <w:r>
              <w:rPr/>
              <w:t> </w:t>
            </w:r>
          </w:p>
        </w:tc>
        <w:tc>
          <w:tcPr>
            <w:tcW w:w="2061" w:type="dxa"/>
            <w:tcBorders/>
          </w:tcPr>
          <w:p>
            <w:pPr>
              <w:pStyle w:val="TableContents"/>
              <w:bidi w:val="0"/>
              <w:spacing w:before="0" w:after="283"/>
              <w:jc w:val="left"/>
              <w:rPr>
                <w:sz w:val="4"/>
                <w:szCs w:val="4"/>
              </w:rPr>
            </w:pPr>
            <w:r>
              <w:rPr>
                <w:sz w:val="4"/>
                <w:szCs w:val="4"/>
              </w:rPr>
            </w:r>
          </w:p>
        </w:tc>
      </w:tr>
      <w:tr>
        <w:trPr/>
        <w:tc>
          <w:tcPr>
            <w:tcW w:w="1842" w:type="dxa"/>
            <w:tcBorders/>
          </w:tcPr>
          <w:p>
            <w:pPr>
              <w:pStyle w:val="TableContents"/>
              <w:bidi w:val="0"/>
              <w:spacing w:before="0" w:after="283"/>
              <w:jc w:val="left"/>
              <w:rPr/>
            </w:pPr>
            <w:r>
              <w:rPr/>
              <w:t>Title:</w:t>
            </w:r>
          </w:p>
        </w:tc>
        <w:tc>
          <w:tcPr>
            <w:tcW w:w="179" w:type="dxa"/>
            <w:tcBorders/>
            <w:vAlign w:val="bottom"/>
          </w:tcPr>
          <w:p>
            <w:pPr>
              <w:pStyle w:val="TableContents"/>
              <w:bidi w:val="0"/>
              <w:spacing w:before="0" w:after="283"/>
              <w:jc w:val="left"/>
              <w:rPr/>
            </w:pPr>
            <w:r>
              <w:rPr/>
              <w:t> </w:t>
            </w:r>
          </w:p>
        </w:tc>
        <w:tc>
          <w:tcPr>
            <w:tcW w:w="206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CROSS-REFERENCE TABLE2</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26"/>
        <w:gridCol w:w="140"/>
        <w:gridCol w:w="1185"/>
        <w:gridCol w:w="140"/>
        <w:gridCol w:w="314"/>
      </w:tblGrid>
      <w:tr>
        <w:trPr/>
        <w:tc>
          <w:tcPr>
            <w:tcW w:w="8426"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842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Section of Trust Indenture Act of 1939, as Amended</w:t>
            </w:r>
          </w:p>
        </w:tc>
        <w:tc>
          <w:tcPr>
            <w:tcW w:w="140" w:type="dxa"/>
            <w:tcBorders/>
            <w:vAlign w:val="bottom"/>
          </w:tcPr>
          <w:p>
            <w:pPr>
              <w:pStyle w:val="TableContents"/>
              <w:bidi w:val="0"/>
              <w:spacing w:before="0" w:after="283"/>
              <w:jc w:val="left"/>
              <w:rPr/>
            </w:pPr>
            <w:r>
              <w:rPr/>
              <w:t>  </w:t>
            </w:r>
          </w:p>
        </w:tc>
        <w:tc>
          <w:tcPr>
            <w:tcW w:w="11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of</w:t>
              <w:br/>
              <w:t>Indenture</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310(a)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7.09</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310(b)</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7.08</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7.10</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310(c)</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Inapplicable</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311(a)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7.13</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311(b)</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7.13</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311(c)</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Inapplicable</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312(a)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5.01</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5.02</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(1)</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312(b)</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5.02</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(3)</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312(c)</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5.02</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(3)</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313(a)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5.04</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(1)</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313(b)</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5.04</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(2)</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313(c)</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5.04</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(1)</w:t>
            </w:r>
          </w:p>
        </w:tc>
      </w:tr>
      <w:tr>
        <w:trPr/>
        <w:tc>
          <w:tcPr>
            <w:tcW w:w="8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5.04</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(2)</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313(d)</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5.04</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(3)</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314(a)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5.03</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13.12</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314(b)</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Inapplicable</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314(c)</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13.07</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(1)</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314(d)</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Inapplicable</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314(e)</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13.07</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(2</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314(f)</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Inapplicable</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315(a)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7.01</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(1)</w:t>
            </w:r>
          </w:p>
        </w:tc>
      </w:tr>
      <w:tr>
        <w:trPr/>
        <w:tc>
          <w:tcPr>
            <w:tcW w:w="8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7.01</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(2)</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315(b)</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7.14</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315(c)</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7.01</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315(d)</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7.01</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center"/>
              <w:rPr/>
            </w:pPr>
            <w:r>
              <w:rPr/>
              <w:t>(2)</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315(e)</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6.07</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316(a)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6.06</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8.04</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pPr>
            <w:r>
              <w:rPr/>
              <w:t> </w:t>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316(b)</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6.04</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316(c)</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8.01</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317(a)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6.02</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317(b)</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4.03</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r>
        <w:trPr/>
        <w:tc>
          <w:tcPr>
            <w:tcW w:w="8426" w:type="dxa"/>
            <w:tcBorders/>
          </w:tcPr>
          <w:p>
            <w:pPr>
              <w:pStyle w:val="TableContents"/>
              <w:bidi w:val="0"/>
              <w:spacing w:before="0" w:after="0"/>
              <w:jc w:val="left"/>
              <w:rPr>
                <w:rFonts w:ascii="Times New Roman" w:hAnsi="Times New Roman"/>
                <w:sz w:val="20"/>
              </w:rPr>
            </w:pPr>
            <w:r>
              <w:rPr>
                <w:rFonts w:ascii="Times New Roman" w:hAnsi="Times New Roman"/>
                <w:sz w:val="20"/>
              </w:rPr>
              <w:t>318(a)</w:t>
            </w:r>
          </w:p>
        </w:tc>
        <w:tc>
          <w:tcPr>
            <w:tcW w:w="140"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13.09</w:t>
            </w:r>
          </w:p>
        </w:tc>
        <w:tc>
          <w:tcPr>
            <w:tcW w:w="140" w:type="dxa"/>
            <w:tcBorders/>
            <w:vAlign w:val="bottom"/>
          </w:tcPr>
          <w:p>
            <w:pPr>
              <w:pStyle w:val="TableContents"/>
              <w:bidi w:val="0"/>
              <w:spacing w:before="0" w:after="283"/>
              <w:jc w:val="left"/>
              <w:rPr/>
            </w:pPr>
            <w:r>
              <w:rPr/>
              <w:t>  </w:t>
            </w:r>
          </w:p>
        </w:tc>
        <w:tc>
          <w:tcPr>
            <w:tcW w:w="314"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2</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TextBody"/>
        <w:bidi w:val="0"/>
        <w:spacing w:before="0" w:after="0"/>
        <w:jc w:val="right"/>
        <w:rPr>
          <w:rFonts w:ascii="Times New Roman" w:hAnsi="Times New Roman"/>
          <w:b/>
          <w:sz w:val="20"/>
        </w:rPr>
      </w:pPr>
      <w:bookmarkStart w:id="39" w:name="d140634dex51.htm"/>
      <w:bookmarkStart w:id="40" w:name="ksd140634dex51"/>
      <w:bookmarkEnd w:id="39"/>
      <w:bookmarkEnd w:id="40"/>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85"/>
        <w:gridCol w:w="121"/>
        <w:gridCol w:w="4699"/>
      </w:tblGrid>
      <w:tr>
        <w:trPr/>
        <w:tc>
          <w:tcPr>
            <w:tcW w:w="53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699" w:type="dxa"/>
            <w:tcBorders/>
            <w:vAlign w:val="center"/>
          </w:tcPr>
          <w:p>
            <w:pPr>
              <w:pStyle w:val="TableContents"/>
              <w:bidi w:val="0"/>
              <w:spacing w:before="0" w:after="283"/>
              <w:jc w:val="left"/>
              <w:rPr>
                <w:sz w:val="4"/>
                <w:szCs w:val="4"/>
              </w:rPr>
            </w:pPr>
            <w:r>
              <w:rPr>
                <w:sz w:val="4"/>
                <w:szCs w:val="4"/>
              </w:rPr>
            </w:r>
          </w:p>
        </w:tc>
      </w:tr>
      <w:tr>
        <w:trPr/>
        <w:tc>
          <w:tcPr>
            <w:tcW w:w="5385"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9050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1"/>
                          <a:stretch>
                            <a:fillRect/>
                          </a:stretch>
                        </pic:blipFill>
                        <pic:spPr bwMode="auto">
                          <a:xfrm>
                            <a:off x="0" y="0"/>
                            <a:ext cx="1905000" cy="4191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699" w:type="dxa"/>
            <w:tcBorders/>
          </w:tcPr>
          <w:p>
            <w:pPr>
              <w:pStyle w:val="TableContents"/>
              <w:bidi w:val="0"/>
              <w:spacing w:before="0" w:after="0"/>
              <w:jc w:val="right"/>
              <w:rPr>
                <w:rFonts w:ascii="Times New Roman" w:hAnsi="Times New Roman"/>
                <w:sz w:val="20"/>
              </w:rPr>
            </w:pPr>
            <w:r>
              <w:rPr>
                <w:rFonts w:ascii="Times New Roman" w:hAnsi="Times New Roman"/>
                <w:sz w:val="20"/>
              </w:rPr>
              <w:t>Goodwin Procter LLP</w:t>
            </w:r>
          </w:p>
          <w:p>
            <w:pPr>
              <w:pStyle w:val="TableContents"/>
              <w:bidi w:val="0"/>
              <w:spacing w:before="0" w:after="0"/>
              <w:jc w:val="right"/>
              <w:rPr>
                <w:rFonts w:ascii="Times New Roman" w:hAnsi="Times New Roman"/>
                <w:sz w:val="20"/>
              </w:rPr>
            </w:pPr>
            <w:r>
              <w:rPr>
                <w:rFonts w:ascii="Times New Roman" w:hAnsi="Times New Roman"/>
                <w:sz w:val="20"/>
              </w:rPr>
              <w:t>525 Market Street</w:t>
            </w:r>
          </w:p>
          <w:p>
            <w:pPr>
              <w:pStyle w:val="TableContents"/>
              <w:bidi w:val="0"/>
              <w:spacing w:before="0" w:after="0"/>
              <w:jc w:val="right"/>
              <w:rPr>
                <w:rFonts w:ascii="Times New Roman" w:hAnsi="Times New Roman"/>
                <w:sz w:val="20"/>
              </w:rPr>
            </w:pPr>
            <w:r>
              <w:rPr>
                <w:rFonts w:ascii="Times New Roman" w:hAnsi="Times New Roman"/>
                <w:sz w:val="20"/>
              </w:rPr>
              <w:t>Floor 32</w:t>
            </w:r>
          </w:p>
          <w:p>
            <w:pPr>
              <w:pStyle w:val="TableContents"/>
              <w:bidi w:val="0"/>
              <w:spacing w:before="0" w:after="0"/>
              <w:jc w:val="right"/>
              <w:rPr>
                <w:rFonts w:ascii="Times New Roman" w:hAnsi="Times New Roman"/>
                <w:sz w:val="20"/>
              </w:rPr>
            </w:pPr>
            <w:r>
              <w:rPr>
                <w:rFonts w:ascii="Times New Roman" w:hAnsi="Times New Roman"/>
                <w:sz w:val="20"/>
              </w:rPr>
              <w:t>San Francisco, California 94105</w:t>
            </w:r>
          </w:p>
          <w:p>
            <w:pPr>
              <w:pStyle w:val="TableContents"/>
              <w:bidi w:val="0"/>
              <w:spacing w:before="0" w:after="0"/>
              <w:jc w:val="right"/>
              <w:rPr>
                <w:rFonts w:ascii="Times New Roman" w:hAnsi="Times New Roman"/>
                <w:sz w:val="20"/>
              </w:rPr>
            </w:pPr>
            <w:r>
              <w:rPr>
                <w:rFonts w:ascii="Times New Roman" w:hAnsi="Times New Roman"/>
                <w:sz w:val="20"/>
              </w:rPr>
              <w:t>goodwinlaw.com</w:t>
            </w:r>
          </w:p>
          <w:p>
            <w:pPr>
              <w:pStyle w:val="TableContents"/>
              <w:bidi w:val="0"/>
              <w:spacing w:before="0" w:after="20"/>
              <w:jc w:val="right"/>
              <w:rPr>
                <w:rFonts w:ascii="Times New Roman" w:hAnsi="Times New Roman"/>
                <w:sz w:val="20"/>
              </w:rPr>
            </w:pPr>
            <w:r>
              <w:rPr>
                <w:rFonts w:ascii="Times New Roman" w:hAnsi="Times New Roman"/>
                <w:sz w:val="20"/>
              </w:rPr>
              <w:t>+1 415 733 6000</w:t>
            </w:r>
          </w:p>
        </w:tc>
      </w:tr>
    </w:tbl>
    <w:p>
      <w:pPr>
        <w:pStyle w:val="TextBody"/>
        <w:bidi w:val="0"/>
        <w:spacing w:before="240" w:after="0"/>
        <w:jc w:val="right"/>
        <w:rPr>
          <w:rFonts w:ascii="Times New Roman" w:hAnsi="Times New Roman"/>
          <w:sz w:val="20"/>
        </w:rPr>
      </w:pPr>
      <w:r>
        <w:rPr>
          <w:rFonts w:ascii="Times New Roman" w:hAnsi="Times New Roman"/>
          <w:sz w:val="20"/>
        </w:rPr>
        <w:t xml:space="preserve">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256 E. Grand Avenue, Suite 104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Being Registered under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(as amended or supplemented, the “Registration Statement”) pursuant to the Securities Act of 1933, as amended (the “Securities Act”), relating to the offering by BridgeBio Oncology Therapeutics, Inc., a Delaware corporation (the “Company”), of up to $500,000,000 of any combination of (i) the Company’s common stock, par value $0.0001 per share (“Common Stock”), (ii) the Company’s preferred stock, par value $0.0001 per share (“Preferred Stock”), (iii) the Company’s debt securities (“Debt Securities”), (iv) warrants to purchase Common Stock, Preferred Stock, Debt Securities or Units (as defined below ) (“Warrants”), and (v) units comprised of Common Stock, Preferred Stock, Debt Securities, Warrants and other securities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set forth below are limited to the Delaware General Corporation Law and the law of New York.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September 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convertible security (including without limitation any Unit), as the case may be, then outstanding, will not exceed the total number of authorized shares of Common Stock or Preferred Stock, as applicable, then available for issuance under the Company’s certificate of incorporation as then in effect (the “Charter”).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opinions set forth below, we refer to the following as the “Future Approval and Issuance” of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any of the Securities, (a) the approval by the Company of the amount, terms and issuance of such Securities (the “Approval”) and (b) the issuance of such Securities in accordance with the Approval upon the receipt by the Company of the consideration (which, in the case of shares of Common Stock or Preferred Stock, is not less than the par value of such shares) to be paid in accordance with the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Debt Securities, (a) the approval, execution and delivery of the indenture or a supplemental indenture relating to such Securities by the Company and the trustee and/or (b) the establishment of the terms of such Securities by the Company in conformity with the indenture or supplemental indenture and applicable law, and (c) the execution, authentication and issuance of such Securities in accordance with the indenture or supplemental indenture and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Warrants or Units, (a) the approval, execution and delivery by the Company and any other parties thereto of any agreement under which such Securities are to be issued, and (b) the establishment of the terms of such Securities and the issuance of such Securities in conformity with those terms, the terms of any applicable agreement and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additional qualifications set forth below,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Upon the Future Approval and Issuance of shares of Common Stock, such shares of Common Stock will be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September 1,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Upon the Future Approval and Issuance of shares of Preferred Stock, such shares of Preferred Stock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3. Upon the Future Approval and Issuance of Debt Securities, such Debt Securities will be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 Upon the Future Approval and Issuance of Warrants, such Warrants will be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Upon the Future Approval and Issuance of Units, such Units will be valid and binding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opinions expressed above are subject to bankruptcy, insolvency, fraudulent transfer, reorganization, moratorium and other similar laws of general application affecting the rights and remedies of creditors and to general principles of equity.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opinions it contains shall be interpreted in accordance with the Core Opinion Principles as published in 74 </w:t>
      </w:r>
      <w:r>
        <w:rPr>
          <w:rFonts w:ascii="Times New Roman" w:hAnsi="Times New Roman"/>
          <w:i/>
          <w:sz w:val="20"/>
        </w:rPr>
        <w:t>Business Lawyer</w:t>
      </w:r>
      <w:r>
        <w:rPr>
          <w:rFonts w:ascii="Times New Roman" w:hAnsi="Times New Roman"/>
          <w:sz w:val="20"/>
        </w:rPr>
        <w:t xml:space="preserve">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GOODWIN PROCTER LLP</w:t>
            </w:r>
          </w:p>
        </w:tc>
      </w:tr>
    </w:tbl>
    <w:p>
      <w:pPr>
        <w:pStyle w:val="TextBody"/>
        <w:bidi w:val="0"/>
        <w:spacing w:before="0" w:after="0"/>
        <w:jc w:val="right"/>
        <w:rPr>
          <w:rFonts w:ascii="Times New Roman" w:hAnsi="Times New Roman"/>
          <w:b/>
          <w:sz w:val="20"/>
        </w:rPr>
      </w:pPr>
      <w:bookmarkStart w:id="41" w:name="d140634dex52.htm"/>
      <w:bookmarkStart w:id="42" w:name="ksd140634dex52"/>
      <w:bookmarkEnd w:id="41"/>
      <w:bookmarkEnd w:id="42"/>
      <w:r>
        <w:rPr>
          <w:rFonts w:ascii="Times New Roman" w:hAnsi="Times New Roman"/>
          <w:b/>
          <w:sz w:val="20"/>
        </w:rPr>
        <w:t xml:space="preserve">Exhibit 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03"/>
        <w:gridCol w:w="122"/>
        <w:gridCol w:w="3304"/>
        <w:gridCol w:w="122"/>
        <w:gridCol w:w="2354"/>
      </w:tblGrid>
      <w:tr>
        <w:trPr/>
        <w:tc>
          <w:tcPr>
            <w:tcW w:w="43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283"/>
              <w:jc w:val="left"/>
              <w:rPr/>
            </w:pPr>
            <w:r>
              <w:rPr/>
              <w:drawing>
                <wp:inline distT="0" distB="0" distL="0" distR="0">
                  <wp:extent cx="1905000"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2"/>
                          <a:stretch>
                            <a:fillRect/>
                          </a:stretch>
                        </pic:blipFill>
                        <pic:spPr bwMode="auto">
                          <a:xfrm>
                            <a:off x="0" y="0"/>
                            <a:ext cx="1905000" cy="4191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330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354"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p>
            <w:pPr>
              <w:pStyle w:val="TableContents"/>
              <w:bidi w:val="0"/>
              <w:spacing w:before="0" w:after="0"/>
              <w:jc w:val="left"/>
              <w:rPr>
                <w:rFonts w:ascii="Times New Roman" w:hAnsi="Times New Roman"/>
                <w:sz w:val="20"/>
              </w:rPr>
            </w:pPr>
            <w:r>
              <w:rPr>
                <w:rFonts w:ascii="Times New Roman" w:hAnsi="Times New Roman"/>
                <w:sz w:val="20"/>
              </w:rPr>
              <w:t>525 Market Street</w:t>
            </w:r>
          </w:p>
          <w:p>
            <w:pPr>
              <w:pStyle w:val="TableContents"/>
              <w:bidi w:val="0"/>
              <w:spacing w:before="0" w:after="0"/>
              <w:jc w:val="left"/>
              <w:rPr>
                <w:rFonts w:ascii="Times New Roman" w:hAnsi="Times New Roman"/>
                <w:sz w:val="20"/>
              </w:rPr>
            </w:pPr>
            <w:r>
              <w:rPr>
                <w:rFonts w:ascii="Times New Roman" w:hAnsi="Times New Roman"/>
                <w:sz w:val="20"/>
              </w:rPr>
              <w:t>Floor 32</w:t>
            </w:r>
          </w:p>
          <w:p>
            <w:pPr>
              <w:pStyle w:val="TableContents"/>
              <w:bidi w:val="0"/>
              <w:spacing w:before="0" w:after="0"/>
              <w:jc w:val="left"/>
              <w:rPr>
                <w:rFonts w:ascii="Times New Roman" w:hAnsi="Times New Roman"/>
                <w:sz w:val="20"/>
              </w:rPr>
            </w:pPr>
            <w:r>
              <w:rPr>
                <w:rFonts w:ascii="Times New Roman" w:hAnsi="Times New Roman"/>
                <w:sz w:val="20"/>
              </w:rPr>
              <w:t>San Francisco, California 94105</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goodwinlaw.com</w:t>
            </w:r>
          </w:p>
          <w:p>
            <w:pPr>
              <w:pStyle w:val="TableContents"/>
              <w:bidi w:val="0"/>
              <w:spacing w:before="0" w:after="20"/>
              <w:jc w:val="left"/>
              <w:rPr>
                <w:rFonts w:ascii="Times New Roman" w:hAnsi="Times New Roman"/>
                <w:sz w:val="20"/>
              </w:rPr>
            </w:pPr>
            <w:r>
              <w:rPr>
                <w:rFonts w:ascii="Times New Roman" w:hAnsi="Times New Roman"/>
                <w:sz w:val="20"/>
              </w:rPr>
              <w:t>+1 415 733 6000</w:t>
            </w:r>
          </w:p>
        </w:tc>
      </w:tr>
    </w:tbl>
    <w:p>
      <w:pPr>
        <w:pStyle w:val="TextBody"/>
        <w:bidi w:val="0"/>
        <w:spacing w:before="240" w:after="0"/>
        <w:jc w:val="right"/>
        <w:rPr>
          <w:rFonts w:ascii="Times New Roman" w:hAnsi="Times New Roman"/>
          <w:sz w:val="20"/>
        </w:rPr>
      </w:pPr>
      <w:r>
        <w:rPr>
          <w:rFonts w:ascii="Times New Roman" w:hAnsi="Times New Roman"/>
          <w:sz w:val="20"/>
        </w:rPr>
        <w:t xml:space="preserve">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256 E. Grand Avenue, Suite 104 </w:t>
      </w:r>
    </w:p>
    <w:p>
      <w:pPr>
        <w:pStyle w:val="TextBody"/>
        <w:bidi w:val="0"/>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Securities Registered under Registration Statement on Form S-3</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you in connection with your filing of a Registration Statement on Form S-3 (as amended or supplemented, the “Registration Statement”) filed on September 1, 2026 with the Securities and Exchange Commission (the “Commission”) pursuant to the Securities Act of 1933, as amended (the “Securities Act”), relating to the registration of the offering by BridgeBio Oncology Therapeutics, Inc., a Delaware corporation (the “Company”) of up to $500,000,000 of any combination of securities of the types specified therein. Reference is made to our opinion letter dated September 1, 2026 and included as Exhibit 5.1 to the Registration Statement. We are delivering this supplemental opinion letter in connection with the prospectus (the “Prospectus”) filed as part of the Registration Statement. The Prospectus relates to the offering by the Company of up to $200,000,000 in shares (the “Shares”) of the Company’s common stock, par value $0.0001 per share (“Common Stock”) covered by the Registration Statement. The Shares are being offered and sold by the sales agent(s) named in, and pursuant to, distribution agreement(s) among the Company and such sales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BridgeBio Oncology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September 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 </w:t>
      </w:r>
    </w:p>
    <w:p>
      <w:pPr>
        <w:pStyle w:val="TextBody"/>
        <w:bidi w:val="0"/>
        <w:spacing w:before="240" w:after="0"/>
        <w:jc w:val="left"/>
        <w:rPr>
          <w:rFonts w:ascii="Times New Roman" w:hAnsi="Times New Roman"/>
          <w:sz w:val="20"/>
        </w:rPr>
      </w:pPr>
      <w:r>
        <w:rPr>
          <w:rFonts w:ascii="Times New Roman" w:hAnsi="Times New Roman"/>
          <w:sz w:val="20"/>
        </w:rPr>
        <w:t xml:space="preserve">The opinion set forth below is limited to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we are of the opinion that the Shares have been duly authorized and, upon Future Approval and Issuance,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and the opinions it contains shall be interpreted in accordance with the Core Opinion Principles as published in 74 Business Lawyer 815 (Summer 2019).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inclusion of this opinion as Exhibit 5.2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Goodwin Procter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GOODWIN PROCTER LLP</w:t>
            </w:r>
          </w:p>
        </w:tc>
      </w:tr>
    </w:tbl>
    <w:p>
      <w:pPr>
        <w:pStyle w:val="TextBody"/>
        <w:bidi w:val="0"/>
        <w:spacing w:before="0" w:after="0"/>
        <w:jc w:val="right"/>
        <w:rPr>
          <w:rFonts w:ascii="Times New Roman" w:hAnsi="Times New Roman"/>
          <w:b/>
          <w:sz w:val="20"/>
        </w:rPr>
      </w:pPr>
      <w:bookmarkStart w:id="43" w:name="d140634dex231.htm"/>
      <w:bookmarkStart w:id="44" w:name="ksd140634dex231"/>
      <w:bookmarkEnd w:id="43"/>
      <w:bookmarkEnd w:id="44"/>
      <w:r>
        <w:rPr>
          <w:rFonts w:ascii="Times New Roman" w:hAnsi="Times New Roman"/>
          <w:b/>
          <w:sz w:val="20"/>
        </w:rPr>
        <w:t xml:space="preserve">Exhibit 23.1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S-3 of our report dated March 5, 2026 relating to the financial statements of BridgeBio Oncology Therapeutics, Inc., appearing in the Annual Report on From 10-K of BridgeBio Oncology Therapeutics, Inc. for the year ended December 31,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Deloitte &amp; Touche LLP</w:t>
            </w:r>
          </w:p>
        </w:tc>
      </w:tr>
      <w:tr>
        <w:trPr/>
        <w:tc>
          <w:tcPr>
            <w:tcW w:w="4082" w:type="dxa"/>
            <w:tcBorders/>
            <w:vAlign w:val="bottom"/>
          </w:tcPr>
          <w:p>
            <w:pPr>
              <w:pStyle w:val="TableContents"/>
              <w:bidi w:val="0"/>
              <w:spacing w:before="0" w:after="283"/>
              <w:jc w:val="left"/>
              <w:rPr/>
            </w:pPr>
            <w:r>
              <w:rPr/>
              <w:t>San Francisco, California</w:t>
            </w:r>
          </w:p>
        </w:tc>
      </w:tr>
      <w:tr>
        <w:trPr/>
        <w:tc>
          <w:tcPr>
            <w:tcW w:w="4082" w:type="dxa"/>
            <w:tcBorders/>
            <w:vAlign w:val="bottom"/>
          </w:tcPr>
          <w:p>
            <w:pPr>
              <w:pStyle w:val="TableContents"/>
              <w:bidi w:val="0"/>
              <w:spacing w:before="0" w:after="283"/>
              <w:jc w:val="left"/>
              <w:rPr/>
            </w:pPr>
            <w:r>
              <w:rPr/>
              <w:t>September 1, 2026</w:t>
            </w:r>
          </w:p>
        </w:tc>
      </w:tr>
    </w:tbl>
    <w:p>
      <w:pPr>
        <w:pStyle w:val="Normal"/>
        <w:bidi w:val="0"/>
        <w:spacing w:before="0" w:after="0"/>
        <w:jc w:val="left"/>
        <w:rPr>
          <w:sz w:val="4"/>
          <w:szCs w:val="4"/>
        </w:rPr>
      </w:pPr>
      <w:r>
        <w:rPr>
          <w:sz w:val="4"/>
          <w:szCs w:val="4"/>
        </w:rPr>
      </w:r>
      <w:bookmarkStart w:id="45" w:name="d140634dexfilingfees.htm"/>
      <w:bookmarkStart w:id="46" w:name="ksd140634dexfilingfees"/>
      <w:bookmarkStart w:id="47" w:name="d140634dexfilingfees.htm"/>
      <w:bookmarkStart w:id="48" w:name="ksd140634dexfilingfees"/>
      <w:bookmarkEnd w:id="47"/>
      <w:bookmarkEnd w:id="48"/>
      <w:r>
        <w:br w:type="page"/>
      </w:r>
    </w:p>
    <w:tbl>
      <w:tblPr>
        <w:tblW w:w="4295" w:type="dxa"/>
        <w:jc w:val="left"/>
        <w:tblInd w:w="0" w:type="dxa"/>
        <w:tblLayout w:type="fixed"/>
        <w:tblCellMar>
          <w:top w:w="28" w:type="dxa"/>
          <w:left w:w="28" w:type="dxa"/>
          <w:bottom w:w="28" w:type="dxa"/>
          <w:right w:w="28" w:type="dxa"/>
        </w:tblCellMar>
      </w:tblPr>
      <w:tblGrid>
        <w:gridCol w:w="4141"/>
        <w:gridCol w:w="154"/>
      </w:tblGrid>
      <w:tr>
        <w:trPr/>
        <w:tc>
          <w:tcPr>
            <w:tcW w:w="429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14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283"/>
              <w:jc w:val="left"/>
              <w:rPr>
                <w:b/>
              </w:rPr>
            </w:pPr>
            <w:r>
              <w:rPr>
                <w:b/>
              </w:rPr>
              <w:t xml:space="preserve">BridgeBio Oncology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$ 69,050.00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9" w:name="MaxAggtOfferingPrice"/>
            <w:bookmarkEnd w:id="49"/>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0" w:name="TotalFeeAmt"/>
            <w:bookmarkEnd w:id="50"/>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1" w:name="TotalPreviouslyPaidAmt"/>
            <w:bookmarkEnd w:id="5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2" w:name="TotalOffsetAmt"/>
            <w:bookmarkEnd w:id="5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3" w:name="NetFeeAmt"/>
            <w:bookmarkEnd w:id="53"/>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9"/>
        <w:gridCol w:w="8708"/>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 amount to be registered consists of up to $500,000,000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or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 The registration fee has been calculated in accordance with Rule 457(o) under the Securities Act. The aggregate maximum offering price of all securities issued by the registrant pursuant to this registration statement will not exceed $500,000,000. 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 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69105/000119312526094112/bbot-20251231.htm" TargetMode="External"/><Relationship Id="rId4" Type="http://schemas.openxmlformats.org/officeDocument/2006/relationships/hyperlink" Target="http://www.sec.gov/Archives/edgar/data/../../../ix?doc=/Archives/edgar/data/1869105/000119312526186944/d133143ddef14a.htm" TargetMode="External"/><Relationship Id="rId5" Type="http://schemas.openxmlformats.org/officeDocument/2006/relationships/hyperlink" Target="http://www.sec.gov/Archives/edgar/data/../../../ix?doc=/Archives/edgar/data/0001869105/000119312526219829/bbot-20260331.htm" TargetMode="External"/><Relationship Id="rId6" Type="http://schemas.openxmlformats.org/officeDocument/2006/relationships/hyperlink" Target="http://www.sec.gov/Archives/edgar/data/../../../ix?doc=/Archives/edgar/data/0001869105/000119312526344661/bbot-20260630.htm" TargetMode="External"/><Relationship Id="rId7" Type="http://schemas.openxmlformats.org/officeDocument/2006/relationships/hyperlink" Target="http://www.sec.gov/Archives/edgar/data/../../../ix?doc=/Archives/edgar/data/0001869105/000119312526005425/d941846d8k.htm" TargetMode="External"/><Relationship Id="rId8" Type="http://schemas.openxmlformats.org/officeDocument/2006/relationships/hyperlink" Target="http://www.sec.gov/Archives/edgar/data/../../../ix?doc=/Archives/edgar/data/0001869105/000119312526126493/d126641d8k.htm" TargetMode="External"/><Relationship Id="rId9" Type="http://schemas.openxmlformats.org/officeDocument/2006/relationships/hyperlink" Target="http://www.sec.gov/Archives/edgar/data/../../../ix?doc=/Archives/edgar/data/0001869105/000119312526170888/d253464d8k.htm" TargetMode="External"/><Relationship Id="rId10" Type="http://schemas.openxmlformats.org/officeDocument/2006/relationships/hyperlink" Target="http://www.sec.gov/Archives/edgar/data/../../../ix?doc=/Archives/edgar/data/0001869105/000119312526191512/d68319d8k.htm" TargetMode="External"/><Relationship Id="rId11" Type="http://schemas.openxmlformats.org/officeDocument/2006/relationships/hyperlink" Target="http://www.sec.gov/Archives/edgar/data/../../../ix?doc=/Archives/edgar/data/0001869105/000119312526277513/d137002d8k.htm" TargetMode="External"/><Relationship Id="rId12" Type="http://schemas.openxmlformats.org/officeDocument/2006/relationships/hyperlink" Target="http://www.sec.gov/Archives/edgar/data/1869105/000121390024011457/ea193097-8a12b_helixacq2.htm" TargetMode="External"/><Relationship Id="rId13" Type="http://schemas.openxmlformats.org/officeDocument/2006/relationships/hyperlink" Target="http://www.sec.gov/Archives/edgar/data/1869105/000119312526094112/bbot-ex4_2.htm" TargetMode="External"/><Relationship Id="rId14" Type="http://schemas.openxmlformats.org/officeDocument/2006/relationships/image" Target="media/image1.jpeg"/><Relationship Id="rId15" Type="http://schemas.openxmlformats.org/officeDocument/2006/relationships/hyperlink" Target="http://www.sec.gov/Archives/edgar/data/../../../ix?doc=/Archives/edgar/data/0001869105/000119312526094112/bbot-20251231.htm" TargetMode="External"/><Relationship Id="rId16" Type="http://schemas.openxmlformats.org/officeDocument/2006/relationships/hyperlink" Target="http://www.sec.gov/Archives/edgar/data/../../../ix?doc=/Archives/edgar/data/1869105/000119312526186944/d133143ddef14a.htm" TargetMode="External"/><Relationship Id="rId17" Type="http://schemas.openxmlformats.org/officeDocument/2006/relationships/hyperlink" Target="http://www.sec.gov/Archives/edgar/data/../../../ix?doc=/Archives/edgar/data/0001869105/000119312526219829/bbot-20260331.htm" TargetMode="External"/><Relationship Id="rId18" Type="http://schemas.openxmlformats.org/officeDocument/2006/relationships/hyperlink" Target="http://www.sec.gov/Archives/edgar/data/../../../ix?doc=/Archives/edgar/data/0001869105/000119312526344661/bbot-20260630.htm" TargetMode="External"/><Relationship Id="rId19" Type="http://schemas.openxmlformats.org/officeDocument/2006/relationships/hyperlink" Target="http://www.sec.gov/Archives/edgar/data/../../../ix?doc=/Archives/edgar/data/0001869105/000119312526005425/d941846d8k.htm" TargetMode="External"/><Relationship Id="rId20" Type="http://schemas.openxmlformats.org/officeDocument/2006/relationships/hyperlink" Target="http://www.sec.gov/Archives/edgar/data/../../../ix?doc=/Archives/edgar/data/0001869105/000119312526126493/d126641d8k.htm" TargetMode="External"/><Relationship Id="rId21" Type="http://schemas.openxmlformats.org/officeDocument/2006/relationships/hyperlink" Target="http://www.sec.gov/Archives/edgar/data/../../../ix?doc=/Archives/edgar/data/0001869105/000119312526170888/d253464d8k.htm" TargetMode="External"/><Relationship Id="rId22" Type="http://schemas.openxmlformats.org/officeDocument/2006/relationships/hyperlink" Target="http://www.sec.gov/Archives/edgar/data/../../../ix?doc=/Archives/edgar/data/0001869105/000119312526191512/d68319d8k.htm" TargetMode="External"/><Relationship Id="rId23" Type="http://schemas.openxmlformats.org/officeDocument/2006/relationships/hyperlink" Target="http://www.sec.gov/Archives/edgar/data/../../../ix?doc=/Archives/edgar/data/0001869105/000119312526277513/d137002d8k.htm" TargetMode="External"/><Relationship Id="rId24" Type="http://schemas.openxmlformats.org/officeDocument/2006/relationships/hyperlink" Target="http://www.sec.gov/Archives/edgar/data/1869105/000121390024011457/ea193097-8a12b_helixacq2.htm" TargetMode="External"/><Relationship Id="rId25" Type="http://schemas.openxmlformats.org/officeDocument/2006/relationships/hyperlink" Target="http://www.sec.gov/Archives/edgar/data/1869105/000119312526094112/bbot-ex4_2.htm" TargetMode="External"/><Relationship Id="rId26" Type="http://schemas.openxmlformats.org/officeDocument/2006/relationships/hyperlink" Target="http://www.sec.gov/Archives/edgar/data/1869105/000121390025075190/ea025066201ex3-1_bridge.htm" TargetMode="External"/><Relationship Id="rId27" Type="http://schemas.openxmlformats.org/officeDocument/2006/relationships/hyperlink" Target="http://www.sec.gov/Archives/edgar/data/1869105/000121390025075190/ea025066201ex3-2_bridge.htm" TargetMode="External"/><Relationship Id="rId28" Type="http://schemas.openxmlformats.org/officeDocument/2006/relationships/hyperlink" Target="http://www.sec.gov/Archives/edgar/data/1869105/000121390025056321/ea023740105ex4-1_helix2.htm" TargetMode="External"/><Relationship Id="rId29" Type="http://schemas.openxmlformats.org/officeDocument/2006/relationships/hyperlink" Target="http://www.sec.gov/Archives/edgar/data/1869105/000121390025075190/ea025066201ex10-1_bridge.htm" TargetMode="External"/><Relationship Id="rId30" Type="http://schemas.openxmlformats.org/officeDocument/2006/relationships/hyperlink" Target="http://www.sec.gov/Archives/edgar/data/1869105/000121390025075190/ea025066201ex10-3_bridge.htm" TargetMode="External"/><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192</Pages>
  <Words>108810</Words>
  <Characters>561573</Characters>
  <CharactersWithSpaces>671712</CharactersWithSpaces>
  <Paragraphs>5289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