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8473dposam.htm"/>
        <w:bookmarkStart w:id="1" w:name="ksd128473dposam"/>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September 1,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w:t>
      </w:r>
    </w:p>
    <w:p>
      <w:pPr>
        <w:pStyle w:val="TextBody"/>
        <w:bidi w:val="0"/>
        <w:spacing w:before="0" w:after="0"/>
        <w:jc w:val="right"/>
        <w:rPr>
          <w:rFonts w:ascii="Times New Roman" w:hAnsi="Times New Roman"/>
          <w:b/>
          <w:spacing w:val="0"/>
          <w:sz w:val="17"/>
        </w:rPr>
      </w:pPr>
      <w:r>
        <w:rPr>
          <w:rFonts w:ascii="Times New Roman" w:hAnsi="Times New Roman"/>
          <w:b/>
          <w:spacing w:val="0"/>
          <w:sz w:val="17"/>
        </w:rPr>
        <w:t>No. 333-289940</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POST-EFFECTIVE AMENDMENT</w:t>
      </w:r>
    </w:p>
    <w:p>
      <w:pPr>
        <w:pStyle w:val="TextBody"/>
        <w:bidi w:val="0"/>
        <w:spacing w:before="120" w:after="0"/>
        <w:jc w:val="center"/>
        <w:rPr>
          <w:rFonts w:ascii="Times New Roman" w:hAnsi="Times New Roman"/>
          <w:b/>
          <w:sz w:val="32"/>
        </w:rPr>
      </w:pPr>
      <w:r>
        <w:rPr>
          <w:rFonts w:ascii="Times New Roman" w:hAnsi="Times New Roman"/>
          <w:b/>
          <w:sz w:val="32"/>
        </w:rPr>
        <w:t xml:space="preserve">NO. 2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w:t>
      </w:r>
    </w:p>
    <w:p>
      <w:pPr>
        <w:pStyle w:val="TextBody"/>
        <w:bidi w:val="0"/>
        <w:spacing w:before="0" w:after="0"/>
        <w:jc w:val="center"/>
        <w:rPr>
          <w:rFonts w:ascii="Times New Roman" w:hAnsi="Times New Roman"/>
          <w:b/>
          <w:spacing w:val="0"/>
          <w:sz w:val="32"/>
        </w:rPr>
      </w:pPr>
      <w:r>
        <w:rPr>
          <w:rFonts w:ascii="Times New Roman" w:hAnsi="Times New Roman"/>
          <w:b/>
          <w:spacing w:val="0"/>
          <w:sz w:val="32"/>
        </w:rPr>
        <w:t>S-1</w:t>
      </w:r>
    </w:p>
    <w:p>
      <w:pPr>
        <w:pStyle w:val="TextBody"/>
        <w:bidi w:val="0"/>
        <w:spacing w:before="0" w:after="0"/>
        <w:jc w:val="center"/>
        <w:rPr>
          <w:rFonts w:ascii="Times New Roman" w:hAnsi="Times New Roman"/>
          <w:b/>
          <w:sz w:val="32"/>
        </w:rPr>
      </w:pPr>
      <w:r>
        <w:rPr>
          <w:rFonts w:ascii="Times New Roman" w:hAnsi="Times New Roman"/>
          <w:b/>
          <w:sz w:val="32"/>
        </w:rPr>
        <w:t xml:space="preserve">ON FORM </w:t>
      </w:r>
    </w:p>
    <w:p>
      <w:pPr>
        <w:pStyle w:val="TextBody"/>
        <w:bidi w:val="0"/>
        <w:spacing w:before="0" w:after="0"/>
        <w:jc w:val="center"/>
        <w:rPr>
          <w:rFonts w:ascii="Times New Roman" w:hAnsi="Times New Roman"/>
          <w:b/>
          <w:spacing w:val="0"/>
          <w:sz w:val="32"/>
        </w:rPr>
      </w:pPr>
      <w:r>
        <w:rPr>
          <w:rFonts w:ascii="Times New Roman" w:hAnsi="Times New Roman"/>
          <w:b/>
          <w:spacing w:val="0"/>
          <w:sz w:val="32"/>
        </w:rPr>
        <w:t>S-3</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UNDER </w:t>
      </w:r>
    </w:p>
    <w:p>
      <w:pPr>
        <w:pStyle w:val="TextBody"/>
        <w:bidi w:val="0"/>
        <w:spacing w:before="0" w:after="0"/>
        <w:jc w:val="center"/>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BRIDGEBIO ONCOLOGY THERAPEUTICS,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Certificate of Incorporation)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465" w:type="dxa"/>
        <w:jc w:val="left"/>
        <w:tblInd w:w="0" w:type="dxa"/>
        <w:tblLayout w:type="fixed"/>
        <w:tblCellMar>
          <w:top w:w="0" w:type="dxa"/>
          <w:left w:w="0" w:type="dxa"/>
          <w:bottom w:w="0" w:type="dxa"/>
          <w:right w:w="0" w:type="dxa"/>
        </w:tblCellMar>
      </w:tblPr>
      <w:tblGrid>
        <w:gridCol w:w="2060"/>
        <w:gridCol w:w="60"/>
        <w:gridCol w:w="2765"/>
        <w:gridCol w:w="60"/>
        <w:gridCol w:w="152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b/>
                <w:spacing w:val="0"/>
              </w:rPr>
            </w:pPr>
            <w:r>
              <w:rPr>
                <w:b/>
                <w:spacing w:val="0"/>
              </w:rPr>
              <w:t>001-41955</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b/>
                <w:spacing w:val="0"/>
              </w:rPr>
            </w:pPr>
            <w:r>
              <w:rPr>
                <w:b/>
                <w:spacing w:val="0"/>
              </w:rPr>
              <w:t>39-3690783</w:t>
            </w:r>
          </w:p>
        </w:tc>
      </w:tr>
      <w:tr>
        <w:trPr/>
        <w:tc>
          <w:tcPr>
            <w:tcW w:w="2060" w:type="dxa"/>
            <w:tcBorders/>
            <w:vAlign w:val="center"/>
          </w:tcPr>
          <w:p>
            <w:pPr>
              <w:pStyle w:val="TableContents"/>
              <w:bidi w:val="0"/>
              <w:spacing w:before="0" w:after="0"/>
              <w:jc w:val="center"/>
              <w:rPr>
                <w:rFonts w:ascii="Times New Roman" w:hAnsi="Times New Roman"/>
                <w:b/>
                <w:sz w:val="15"/>
              </w:rPr>
            </w:pPr>
            <w:r>
              <w:rPr>
                <w:rFonts w:ascii="Times New Roman" w:hAnsi="Times New Roman"/>
                <w:b/>
                <w:sz w:val="15"/>
              </w:rPr>
              <w:t>(State or Other Jurisdiction of</w:t>
            </w:r>
          </w:p>
          <w:p>
            <w:pPr>
              <w:pStyle w:val="TableContents"/>
              <w:bidi w:val="0"/>
              <w:spacing w:before="0" w:after="20"/>
              <w:jc w:val="center"/>
              <w:rPr>
                <w:rFonts w:ascii="Times New Roman" w:hAnsi="Times New Roman"/>
                <w:b/>
                <w:sz w:val="15"/>
              </w:rPr>
            </w:pPr>
            <w:r>
              <w:rPr>
                <w:rFonts w:ascii="Times New Roman" w:hAnsi="Times New Roman"/>
                <w:b/>
                <w:sz w:val="15"/>
              </w:rPr>
              <w:t>Incorporation or Organization)</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b/>
                <w:spacing w:val="0"/>
              </w:rPr>
            </w:pPr>
            <w:r>
              <w:rPr>
                <w:b/>
                <w:spacing w:val="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b/>
                <w:sz w:val="15"/>
              </w:rPr>
            </w:pPr>
            <w:r>
              <w:rPr>
                <w:rFonts w:ascii="Times New Roman" w:hAnsi="Times New Roman"/>
                <w:b/>
                <w:sz w:val="15"/>
              </w:rPr>
              <w:t>(I.R.S. Employer</w:t>
            </w:r>
          </w:p>
          <w:p>
            <w:pPr>
              <w:pStyle w:val="TableContents"/>
              <w:bidi w:val="0"/>
              <w:spacing w:before="0" w:after="20"/>
              <w:jc w:val="center"/>
              <w:rPr>
                <w:rFonts w:ascii="Times New Roman" w:hAnsi="Times New Roman"/>
                <w:b/>
                <w:sz w:val="15"/>
              </w:rPr>
            </w:pPr>
            <w:r>
              <w:rPr>
                <w:rFonts w:ascii="Times New Roman" w:hAnsi="Times New Roman"/>
                <w:b/>
                <w:sz w:val="15"/>
              </w:rP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256 E. Grand Avenue, Suite 104 </w:t>
      </w:r>
    </w:p>
    <w:p>
      <w:pPr>
        <w:pStyle w:val="TextBody"/>
        <w:bidi w:val="0"/>
        <w:spacing w:before="0" w:after="0"/>
        <w:jc w:val="center"/>
        <w:rPr>
          <w:rFonts w:ascii="Times New Roman" w:hAnsi="Times New Roman"/>
          <w:b/>
          <w:sz w:val="17"/>
        </w:rPr>
      </w:pPr>
      <w:r>
        <w:rPr>
          <w:rFonts w:ascii="Times New Roman" w:hAnsi="Times New Roman"/>
          <w:b/>
          <w:sz w:val="17"/>
        </w:rPr>
        <w:t xml:space="preserve">South San Francisco, </w:t>
      </w:r>
    </w:p>
    <w:p>
      <w:pPr>
        <w:pStyle w:val="TextBody"/>
        <w:bidi w:val="0"/>
        <w:spacing w:before="0" w:after="0"/>
        <w:jc w:val="center"/>
        <w:rPr>
          <w:rFonts w:ascii="Times New Roman" w:hAnsi="Times New Roman"/>
          <w:b/>
          <w:sz w:val="17"/>
        </w:rPr>
      </w:pPr>
      <w:r>
        <w:rPr>
          <w:rFonts w:ascii="Times New Roman" w:hAnsi="Times New Roman"/>
          <w:b/>
          <w:sz w:val="17"/>
        </w:rPr>
        <w:t>CA</w:t>
      </w:r>
    </w:p>
    <w:p>
      <w:pPr>
        <w:pStyle w:val="TextBody"/>
        <w:bidi w:val="0"/>
        <w:spacing w:before="0" w:after="0"/>
        <w:jc w:val="center"/>
        <w:rPr>
          <w:rFonts w:ascii="Times New Roman" w:hAnsi="Times New Roman"/>
          <w:b/>
          <w:sz w:val="17"/>
        </w:rPr>
      </w:pPr>
      <w:r>
        <w:rPr>
          <w:rFonts w:ascii="Times New Roman" w:hAnsi="Times New Roman"/>
          <w:b/>
          <w:sz w:val="17"/>
        </w:rPr>
        <w:t xml:space="preserve">94080 </w:t>
      </w:r>
    </w:p>
    <w:p>
      <w:pPr>
        <w:pStyle w:val="TextBody"/>
        <w:bidi w:val="0"/>
        <w:spacing w:before="0" w:after="0"/>
        <w:jc w:val="center"/>
        <w:rPr>
          <w:rFonts w:ascii="Times New Roman" w:hAnsi="Times New Roman"/>
          <w:b/>
          <w:sz w:val="17"/>
        </w:rPr>
      </w:pPr>
      <w:r>
        <w:rPr>
          <w:rFonts w:ascii="Times New Roman" w:hAnsi="Times New Roman"/>
          <w:b/>
          <w:sz w:val="17"/>
        </w:rPr>
        <w:t xml:space="preserve">(650) </w:t>
      </w:r>
    </w:p>
    <w:p>
      <w:pPr>
        <w:pStyle w:val="TextBody"/>
        <w:bidi w:val="0"/>
        <w:spacing w:before="0" w:after="0"/>
        <w:jc w:val="center"/>
        <w:rPr>
          <w:rFonts w:ascii="Times New Roman" w:hAnsi="Times New Roman"/>
          <w:b/>
          <w:spacing w:val="0"/>
          <w:sz w:val="17"/>
        </w:rPr>
      </w:pPr>
      <w:r>
        <w:rPr>
          <w:rFonts w:ascii="Times New Roman" w:hAnsi="Times New Roman"/>
          <w:b/>
          <w:spacing w:val="0"/>
          <w:sz w:val="17"/>
        </w:rPr>
        <w:t>405-4770</w:t>
      </w:r>
    </w:p>
    <w:p>
      <w:pPr>
        <w:pStyle w:val="TextBody"/>
        <w:bidi w:val="0"/>
        <w:spacing w:before="0" w:after="0"/>
        <w:jc w:val="center"/>
        <w:rPr>
          <w:rFonts w:ascii="Times New Roman" w:hAnsi="Times New Roman"/>
          <w:b/>
          <w:sz w:val="15"/>
        </w:rPr>
      </w:pPr>
      <w:r>
        <w:rPr>
          <w:rFonts w:ascii="Times New Roman" w:hAnsi="Times New Roman"/>
          <w:b/>
          <w:sz w:val="15"/>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7"/>
        </w:rPr>
      </w:pPr>
      <w:r>
        <w:rPr>
          <w:rFonts w:ascii="Times New Roman" w:hAnsi="Times New Roman"/>
          <w:b/>
          <w:sz w:val="17"/>
        </w:rPr>
        <w:t xml:space="preserve">Pedro J. Beltran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256 E. Grand Avenue, Suite 104 </w:t>
      </w:r>
    </w:p>
    <w:p>
      <w:pPr>
        <w:pStyle w:val="TextBody"/>
        <w:bidi w:val="0"/>
        <w:spacing w:before="0" w:after="0"/>
        <w:jc w:val="center"/>
        <w:rPr>
          <w:rFonts w:ascii="Times New Roman" w:hAnsi="Times New Roman"/>
          <w:b/>
          <w:sz w:val="17"/>
        </w:rPr>
      </w:pPr>
      <w:r>
        <w:rPr>
          <w:rFonts w:ascii="Times New Roman" w:hAnsi="Times New Roman"/>
          <w:b/>
          <w:sz w:val="17"/>
        </w:rPr>
        <w:t xml:space="preserve">South San Francisco, </w:t>
      </w:r>
    </w:p>
    <w:p>
      <w:pPr>
        <w:pStyle w:val="TextBody"/>
        <w:bidi w:val="0"/>
        <w:spacing w:before="0" w:after="0"/>
        <w:jc w:val="center"/>
        <w:rPr>
          <w:rFonts w:ascii="Times New Roman" w:hAnsi="Times New Roman"/>
          <w:b/>
          <w:sz w:val="17"/>
        </w:rPr>
      </w:pPr>
      <w:r>
        <w:rPr>
          <w:rFonts w:ascii="Times New Roman" w:hAnsi="Times New Roman"/>
          <w:b/>
          <w:sz w:val="17"/>
        </w:rPr>
        <w:t>CA</w:t>
      </w:r>
    </w:p>
    <w:p>
      <w:pPr>
        <w:pStyle w:val="TextBody"/>
        <w:bidi w:val="0"/>
        <w:spacing w:before="0" w:after="0"/>
        <w:jc w:val="center"/>
        <w:rPr>
          <w:rFonts w:ascii="Times New Roman" w:hAnsi="Times New Roman"/>
          <w:b/>
          <w:sz w:val="17"/>
        </w:rPr>
      </w:pPr>
      <w:r>
        <w:rPr>
          <w:rFonts w:ascii="Times New Roman" w:hAnsi="Times New Roman"/>
          <w:b/>
          <w:sz w:val="17"/>
        </w:rPr>
        <w:t xml:space="preserve">94080 </w:t>
      </w:r>
    </w:p>
    <w:p>
      <w:pPr>
        <w:pStyle w:val="TextBody"/>
        <w:bidi w:val="0"/>
        <w:spacing w:before="0" w:after="0"/>
        <w:jc w:val="center"/>
        <w:rPr>
          <w:rFonts w:ascii="Times New Roman" w:hAnsi="Times New Roman"/>
          <w:b/>
          <w:sz w:val="17"/>
        </w:rPr>
      </w:pPr>
      <w:r>
        <w:rPr>
          <w:rFonts w:ascii="Times New Roman" w:hAnsi="Times New Roman"/>
          <w:b/>
          <w:sz w:val="17"/>
        </w:rPr>
        <w:t xml:space="preserve">(650) </w:t>
      </w:r>
    </w:p>
    <w:p>
      <w:pPr>
        <w:pStyle w:val="TextBody"/>
        <w:bidi w:val="0"/>
        <w:spacing w:before="0" w:after="0"/>
        <w:jc w:val="center"/>
        <w:rPr>
          <w:rFonts w:ascii="Times New Roman" w:hAnsi="Times New Roman"/>
          <w:b/>
          <w:spacing w:val="0"/>
          <w:sz w:val="17"/>
        </w:rPr>
      </w:pPr>
      <w:r>
        <w:rPr>
          <w:rFonts w:ascii="Times New Roman" w:hAnsi="Times New Roman"/>
          <w:b/>
          <w:spacing w:val="0"/>
          <w:sz w:val="17"/>
        </w:rPr>
        <w:t>405-4770</w:t>
      </w:r>
    </w:p>
    <w:p>
      <w:pPr>
        <w:pStyle w:val="TextBody"/>
        <w:bidi w:val="0"/>
        <w:spacing w:before="0" w:after="0"/>
        <w:jc w:val="center"/>
        <w:rPr>
          <w:rFonts w:ascii="Times New Roman" w:hAnsi="Times New Roman"/>
          <w:b/>
          <w:sz w:val="15"/>
        </w:rPr>
      </w:pPr>
      <w:r>
        <w:rPr>
          <w:rFonts w:ascii="Times New Roman" w:hAnsi="Times New Roman"/>
          <w:b/>
          <w:sz w:val="15"/>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caps w:val="false"/>
          <w:smallCaps w:val="false"/>
          <w:spacing w:val="0"/>
          <w:sz w:val="17"/>
        </w:rPr>
      </w:pPr>
      <w:r>
        <w:rPr>
          <w:rFonts w:ascii="Times New Roman" w:hAnsi="Times New Roman"/>
          <w:b/>
          <w:i/>
          <w:caps w:val="false"/>
          <w:smallCaps w:val="false"/>
          <w:spacing w:val="0"/>
          <w:sz w:val="17"/>
        </w:rPr>
        <w:t xml:space="preserve">Copies to: </w:t>
      </w:r>
    </w:p>
    <w:p>
      <w:pPr>
        <w:pStyle w:val="TextBody"/>
        <w:bidi w:val="0"/>
        <w:spacing w:before="120" w:after="0"/>
        <w:jc w:val="center"/>
        <w:rPr>
          <w:rFonts w:ascii="Times New Roman" w:hAnsi="Times New Roman"/>
          <w:b/>
          <w:sz w:val="17"/>
        </w:rPr>
      </w:pPr>
      <w:r>
        <w:rPr>
          <w:rFonts w:ascii="Times New Roman" w:hAnsi="Times New Roman"/>
          <w:b/>
          <w:sz w:val="17"/>
        </w:rPr>
        <w:t xml:space="preserve">Maggie L. Wong </w:t>
      </w:r>
    </w:p>
    <w:p>
      <w:pPr>
        <w:pStyle w:val="TextBody"/>
        <w:bidi w:val="0"/>
        <w:spacing w:before="0" w:after="0"/>
        <w:jc w:val="center"/>
        <w:rPr>
          <w:rFonts w:ascii="Times New Roman" w:hAnsi="Times New Roman"/>
          <w:b/>
          <w:sz w:val="17"/>
        </w:rPr>
      </w:pPr>
      <w:r>
        <w:rPr>
          <w:rFonts w:ascii="Times New Roman" w:hAnsi="Times New Roman"/>
          <w:b/>
          <w:sz w:val="17"/>
        </w:rPr>
        <w:t xml:space="preserve">Alicia M. Tschirhart </w:t>
      </w:r>
    </w:p>
    <w:p>
      <w:pPr>
        <w:pStyle w:val="TextBody"/>
        <w:bidi w:val="0"/>
        <w:spacing w:before="0" w:after="0"/>
        <w:jc w:val="center"/>
        <w:rPr>
          <w:rFonts w:ascii="Times New Roman" w:hAnsi="Times New Roman"/>
          <w:b/>
          <w:sz w:val="17"/>
        </w:rPr>
      </w:pPr>
      <w:r>
        <w:rPr>
          <w:rFonts w:ascii="Times New Roman" w:hAnsi="Times New Roman"/>
          <w:b/>
          <w:sz w:val="17"/>
        </w:rPr>
        <w:t xml:space="preserve">Goodwin Procter LLP </w:t>
      </w:r>
    </w:p>
    <w:p>
      <w:pPr>
        <w:pStyle w:val="TextBody"/>
        <w:bidi w:val="0"/>
        <w:spacing w:before="0" w:after="0"/>
        <w:jc w:val="center"/>
        <w:rPr>
          <w:rFonts w:ascii="Times New Roman" w:hAnsi="Times New Roman"/>
          <w:b/>
          <w:sz w:val="17"/>
        </w:rPr>
      </w:pPr>
      <w:r>
        <w:rPr>
          <w:rFonts w:ascii="Times New Roman" w:hAnsi="Times New Roman"/>
          <w:b/>
          <w:sz w:val="17"/>
        </w:rPr>
        <w:t xml:space="preserve">525 Market Street </w:t>
      </w:r>
    </w:p>
    <w:p>
      <w:pPr>
        <w:pStyle w:val="TextBody"/>
        <w:bidi w:val="0"/>
        <w:spacing w:before="0" w:after="0"/>
        <w:jc w:val="center"/>
        <w:rPr>
          <w:rFonts w:ascii="Times New Roman" w:hAnsi="Times New Roman"/>
          <w:b/>
          <w:sz w:val="17"/>
        </w:rPr>
      </w:pPr>
      <w:r>
        <w:rPr>
          <w:rFonts w:ascii="Times New Roman" w:hAnsi="Times New Roman"/>
          <w:b/>
          <w:sz w:val="17"/>
        </w:rPr>
        <w:t xml:space="preserve">San Francisco, CA 94105 </w:t>
      </w:r>
    </w:p>
    <w:p>
      <w:pPr>
        <w:pStyle w:val="TextBody"/>
        <w:bidi w:val="0"/>
        <w:spacing w:before="0" w:after="0"/>
        <w:jc w:val="center"/>
        <w:rPr>
          <w:rFonts w:ascii="Times New Roman" w:hAnsi="Times New Roman"/>
          <w:b/>
          <w:sz w:val="17"/>
        </w:rPr>
      </w:pPr>
      <w:r>
        <w:rPr>
          <w:rFonts w:ascii="Times New Roman" w:hAnsi="Times New Roman"/>
          <w:b/>
          <w:sz w:val="17"/>
        </w:rPr>
        <w:t xml:space="preserve">Telephone: (415) </w:t>
      </w:r>
    </w:p>
    <w:p>
      <w:pPr>
        <w:pStyle w:val="TextBody"/>
        <w:bidi w:val="0"/>
        <w:spacing w:before="0" w:after="0"/>
        <w:jc w:val="center"/>
        <w:rPr>
          <w:rFonts w:ascii="Times New Roman" w:hAnsi="Times New Roman"/>
          <w:b/>
          <w:spacing w:val="0"/>
          <w:sz w:val="17"/>
        </w:rPr>
      </w:pPr>
      <w:r>
        <w:rPr>
          <w:rFonts w:ascii="Times New Roman" w:hAnsi="Times New Roman"/>
          <w:b/>
          <w:spacing w:val="0"/>
          <w:sz w:val="17"/>
        </w:rPr>
        <w:t>733-6000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pacing w:val="0"/>
          <w:sz w:val="17"/>
        </w:rPr>
      </w:pPr>
      <w:r>
        <w:rPr>
          <w:rFonts w:ascii="Times New Roman" w:hAnsi="Times New Roman"/>
          <w:b/>
          <w:spacing w:val="0"/>
          <w:sz w:val="17"/>
        </w:rPr>
        <w:t xml:space="preserve">Approximate date of commencement of proposed sale to the public: </w:t>
      </w:r>
    </w:p>
    <w:p>
      <w:pPr>
        <w:pStyle w:val="TextBody"/>
        <w:bidi w:val="0"/>
        <w:spacing w:before="120" w:after="0"/>
        <w:jc w:val="left"/>
        <w:rPr>
          <w:rFonts w:ascii="Times New Roman" w:hAnsi="Times New Roman"/>
          <w:sz w:val="17"/>
        </w:rPr>
      </w:pPr>
      <w:r>
        <w:rPr>
          <w:rFonts w:ascii="Times New Roman" w:hAnsi="Times New Roman"/>
          <w:sz w:val="17"/>
        </w:rPr>
        <w:t xml:space="preserve">From time to time after this Registration Statement becomes effective. </w:t>
      </w:r>
    </w:p>
    <w:p>
      <w:pPr>
        <w:pStyle w:val="TextBody"/>
        <w:bidi w:val="0"/>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w:t>
      </w:r>
    </w:p>
    <w:p>
      <w:pPr>
        <w:pStyle w:val="TextBody"/>
        <w:bidi w:val="0"/>
        <w:spacing w:before="120" w:after="0"/>
        <w:jc w:val="left"/>
        <w:rPr>
          <w:rFonts w:ascii="Times New Roman" w:hAnsi="Times New Roman"/>
          <w:spacing w:val="0"/>
          <w:sz w:val="17"/>
        </w:rPr>
      </w:pPr>
      <w:r>
        <w:rPr>
          <w:rFonts w:ascii="Times New Roman" w:hAnsi="Times New Roman"/>
          <w:spacing w:val="0"/>
          <w:sz w:val="17"/>
        </w:rPr>
        <w:t>non-accelerated</w:t>
      </w:r>
    </w:p>
    <w:p>
      <w:pPr>
        <w:pStyle w:val="TextBody"/>
        <w:bidi w:val="0"/>
        <w:spacing w:before="120" w:after="0"/>
        <w:jc w:val="left"/>
        <w:rPr>
          <w:rFonts w:ascii="Times New Roman" w:hAnsi="Times New Roman"/>
          <w:sz w:val="17"/>
        </w:rPr>
      </w:pPr>
      <w:r>
        <w:rPr>
          <w:rFonts w:ascii="Times New Roman" w:hAnsi="Times New Roman"/>
          <w:sz w:val="17"/>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120" w:after="0"/>
        <w:jc w:val="left"/>
        <w:rPr>
          <w:rFonts w:ascii="Times New Roman" w:hAnsi="Times New Roman"/>
          <w:spacing w:val="0"/>
          <w:sz w:val="17"/>
        </w:rPr>
      </w:pPr>
      <w:r>
        <w:rPr>
          <w:rFonts w:ascii="Times New Roman" w:hAnsi="Times New Roman"/>
          <w:spacing w:val="0"/>
          <w:sz w:val="17"/>
        </w:rPr>
        <w:t>12b-2</w:t>
      </w:r>
    </w:p>
    <w:p>
      <w:pPr>
        <w:pStyle w:val="TextBody"/>
        <w:bidi w:val="0"/>
        <w:spacing w:before="120" w:after="0"/>
        <w:jc w:val="left"/>
        <w:rPr>
          <w:rFonts w:ascii="Times New Roman" w:hAnsi="Times New Roman"/>
          <w:sz w:val="17"/>
        </w:rPr>
      </w:pPr>
      <w:r>
        <w:rPr>
          <w:rFonts w:ascii="Times New Roman" w:hAnsi="Times New Roman"/>
          <w:sz w:val="17"/>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7"/>
        </w:rPr>
      </w:pPr>
      <w:r>
        <w:rPr>
          <w:rFonts w:ascii="Times New Roman" w:hAnsi="Times New Roman"/>
          <w:b/>
          <w:sz w:val="17"/>
        </w:rPr>
        <w:t xml:space="preserve">This post-effective amendment will become effective in accordance with the provisions of Section 8(c) of the Securities Act of 1933, as amended. 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29, 2025, BridgeBio Oncology Therapeutics, Inc. (the “Company”) filed a registration statement with the U.S. Securities and Exchange Commission (the “SEC”)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S-1</w:t>
      </w:r>
    </w:p>
    <w:p>
      <w:pPr>
        <w:pStyle w:val="TextBody"/>
        <w:bidi w:val="0"/>
        <w:spacing w:before="240" w:after="0"/>
        <w:jc w:val="left"/>
        <w:rPr/>
      </w:pPr>
      <w:r>
        <w:rPr>
          <w:rFonts w:ascii="Times New Roman" w:hAnsi="Times New Roman"/>
          <w:sz w:val="20"/>
        </w:rPr>
        <w:t>(File No. </w:t>
      </w:r>
      <w:hyperlink r:id="rId2">
        <w:r>
          <w:rPr>
            <w:rStyle w:val="InternetLink"/>
            <w:rFonts w:ascii="Times New Roman" w:hAnsi="Times New Roman"/>
            <w:spacing w:val="0"/>
            <w:sz w:val="20"/>
          </w:rPr>
          <w:t>333-289940</w:t>
        </w:r>
      </w:hyperlink>
      <w:r>
        <w:rPr>
          <w:rFonts w:ascii="Times New Roman" w:hAnsi="Times New Roman"/>
          <w:sz w:val="20"/>
        </w:rPr>
        <w:t xml:space="preserve">) (the “Registration Statement”), which was initially declared effective by the SEC on September 10, 2025.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2 to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S-1</w:t>
      </w:r>
    </w:p>
    <w:p>
      <w:pPr>
        <w:pStyle w:val="TextBody"/>
        <w:bidi w:val="0"/>
        <w:spacing w:before="240" w:after="0"/>
        <w:jc w:val="left"/>
        <w:rPr>
          <w:rFonts w:ascii="Times New Roman" w:hAnsi="Times New Roman"/>
          <w:sz w:val="20"/>
        </w:rPr>
      </w:pPr>
      <w:r>
        <w:rPr>
          <w:rFonts w:ascii="Times New Roman" w:hAnsi="Times New Roman"/>
          <w:sz w:val="20"/>
        </w:rPr>
        <w:t xml:space="preserve">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to the Registration Statement is being filed to convert the Registration Statement into a registration statement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S-3.</w:t>
      </w:r>
    </w:p>
    <w:p>
      <w:pPr>
        <w:pStyle w:val="TextBody"/>
        <w:bidi w:val="0"/>
        <w:spacing w:before="240" w:after="283"/>
        <w:jc w:val="left"/>
        <w:rPr>
          <w:rFonts w:ascii="Times New Roman" w:hAnsi="Times New Roman"/>
          <w:sz w:val="20"/>
        </w:rPr>
      </w:pPr>
      <w:r>
        <w:rPr>
          <w:rFonts w:ascii="Times New Roman" w:hAnsi="Times New Roman"/>
          <w:sz w:val="20"/>
        </w:rPr>
        <w:t xml:space="preserve">The information included in this filing amends the Registration Statement and the prospectus contained therein. No additional securities are being registered under this Post-Effective Amendment. All applicable registration fees were paid at the time of the original filing of the Registration Statement on August 29,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BridgeBio Oncology Therapeutics,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63,054,549 Shares of Common Stock by the Selling Securityholders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named in this prospectus (the “Selling Securityholders”) of up to 63,054,549 shares of common stock, par value $0.0001 per share of BridgeBio Oncology Therapeutics, Inc. (the “Common Stock”) consisting of (i) up to 24,343,711 shares of Common Stock (the “PIPE Shares”) issued in a private placement pursuant to subscription agreements entered into on February 28, 2025 (the “PIPE Financing”), (ii) up to 4,648,186 shares of Common Stock issued to the Sponsor (as defined below) and certain initial shareholders of Helix (as defined below) in connection with the Business Combination (as defined below), (iii) up to 32,155,445 shares of Common Stock issued or issuable to certain equity holders of the Company pursuant to the Business Combination and (iv) 1,907,207 shares of Common Stock issuable upon exercise of stock options at exercise prices ranging from $1.02 to $7.88 per share (the “Options”), issued to certain of our affiliates upon conversion of stock options in TheRas, Inc. dba BridgeBio Oncology Therapeutics in connection with the Business Combination.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proceeds from the sale of shares of common stock by the Selling Securityholders pursuant to this prospectus, except with respect to amounts received by us upon exercise of the Options to the extent such Options are exercised for cash. However, we will pay the expenses, other than underwriting discounts and commissions and certain expenses incurred by the Selling Securityholders in disposing of the securities, associated with the sale of securities pursuant to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offer and sale of certain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Times New Roman" w:hAnsi="Times New Roman"/>
          <w:i/>
          <w:sz w:val="20"/>
        </w:rPr>
        <w:t>Selling Securityholders</w:t>
      </w:r>
      <w:r>
        <w:rPr>
          <w:rFonts w:ascii="Times New Roman" w:hAnsi="Times New Roman"/>
          <w:sz w:val="20"/>
        </w:rPr>
        <w:t>” and “</w:t>
      </w:r>
      <w:r>
        <w:rPr>
          <w:rFonts w:ascii="Times New Roman" w:hAnsi="Times New Roman"/>
          <w:i/>
          <w:sz w:val="20"/>
        </w:rPr>
        <w:t>Plan of Distribution</w:t>
      </w:r>
      <w:r>
        <w:rPr>
          <w:rFonts w:ascii="Times New Roman" w:hAnsi="Times New Roman"/>
          <w:sz w:val="20"/>
        </w:rPr>
        <w:t xml:space="preserve">” in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You should read this prospectus and any prospectus supplement or amendment carefully before you invest in our securities.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“BBOT”. On August 31, 2026, the closing price of our Common Stock was $8.80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an “emerging growth company” and a “smaller reporting company” as that term is defined under the U.S. federal securities laws and, as such, are subject to certain reduced public company reporting requirements. See “</w:t>
      </w:r>
      <w:r>
        <w:rPr>
          <w:rFonts w:ascii="Times New Roman" w:hAnsi="Times New Roman"/>
          <w:i/>
          <w:sz w:val="20"/>
        </w:rPr>
        <w:t>Prospectus Summary-Implications of Being an Emerging Growth Company and a Smaller Reporting Company</w:t>
      </w:r>
      <w:r>
        <w:rPr>
          <w:rFonts w:ascii="Times New Roman" w:hAnsi="Times New Roman"/>
          <w:sz w:val="20"/>
        </w:rPr>
        <w:t xml:space="preserve">.” This prospectus complies with the requirements that apply to an issuer that is an emerging growth company and a smaller reporting company.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certain risks. See the section entitled “</w:t>
      </w:r>
      <w:hyperlink w:anchor="rom128473_6">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section beginning on page 7 of this prospectus, in any applicable prospectus supplement and any related free writing prospectus, and in our SEC filings that are incorporated by reference herein. You should read the entire prospectus carefully before you make your investment decision.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6245"/>
        <w:gridCol w:w="120"/>
        <w:gridCol w:w="96"/>
        <w:gridCol w:w="419"/>
        <w:gridCol w:w="75"/>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
              <w:r>
                <w:rPr>
                  <w:rStyle w:val="InternetLink"/>
                  <w:rFonts w:ascii="Times New Roman" w:hAnsi="Times New Roman"/>
                  <w:sz w:val="20"/>
                </w:rPr>
                <w:t>INTRODUCTORY NOTE AND FREQUENTLY USED TERMS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ii</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2">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iv</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3">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4">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5">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6">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7">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8">
              <w:r>
                <w:rPr>
                  <w:rStyle w:val="InternetLink"/>
                  <w:rFonts w:ascii="Times New Roman" w:hAnsi="Times New Roman"/>
                  <w:sz w:val="20"/>
                </w:rPr>
                <w:t>DESCRIPTION OF CAPITAL STOCK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9">
              <w:r>
                <w:rPr>
                  <w:rStyle w:val="InternetLink"/>
                  <w:rFonts w:ascii="Times New Roman" w:hAnsi="Times New Roman"/>
                  <w:sz w:val="20"/>
                </w:rPr>
                <w:t>SECURITIES ACT RESTRICTIONS ON RESALE OF SECURITIES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0">
              <w:r>
                <w:rPr>
                  <w:rStyle w:val="InternetLink"/>
                  <w:rFonts w:ascii="Times New Roman" w:hAnsi="Times New Roman"/>
                  <w:sz w:val="20"/>
                </w:rPr>
                <w:t>SELLING SECURITYHOLDERS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1">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2">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3">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4">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rom128473_15">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128473_1"/>
      <w:bookmarkEnd w:id="3"/>
      <w:r>
        <w:rPr>
          <w:rFonts w:ascii="Times New Roman" w:hAnsi="Times New Roman"/>
          <w:b/>
          <w:sz w:val="20"/>
        </w:rPr>
        <w:t xml:space="preserve">INTRODUCTORY NOTE AND FREQUENTLY USED TERMS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2025 (the “Closing Date”), Helix Acquisition Corp. II., a Cayman Islands exempted company (“Helix”), consummated the previously announced Business Combination pursuant to the terms of the business combination agreement, dated February 28, 2025 and amended on June 17, 2025 (as amended, the “Business Combination Agreement”), with Helix II Merger Sub, Inc., a Delaware corporation and wholly-owned subsidiary of Helix (“Merger Sub”), and TheRas, Inc. (d/b/a BridgeBio Oncology Therapeutics), a Delaware corporation (“TheRas”).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on the Closing Date, (i) immediately prior to the consummation of the Business Combination, Helix filed a Certificate of Corporate Domestication and a Certificate of Incorporation with the Delaware Secretary of State and filed an application to de-register with the Registrar of Companies of the Cayman Islands (collectively, the “Domestication”), (ii) upon effectiveness of the Domestication, Helix became a Delaware corporation and changed its corporate name to “BridgeBio Oncology Therapeutics, Inc.” (the “Company” or “BBOT”), and (iii) Merger Sub merged with and into TheRas (the “Merger”), with TheRas surviving the Merger as a direct, wholly-owned subsidiary of the Company (collectively, the Merger and Domestication, along with certain other transactions in the Business Combination Agreement,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prospectus to “TheRas”, the “Company”, “us”, “we”, “our” and any related terms prior to the closing of the Business Combination are intended to mean TheRas, and references to “BBOT”, the “Company”, “us”, “we”, “our” and any related terms after the closing of the Business Combination, are intended to mean the Company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this document, unless otherwise stated or the context otherwise requires, references to: </w:t>
      </w:r>
    </w:p>
    <w:p>
      <w:pPr>
        <w:pStyle w:val="TextBody"/>
        <w:bidi w:val="0"/>
        <w:spacing w:before="240" w:after="0"/>
        <w:jc w:val="left"/>
        <w:rPr/>
      </w:pPr>
      <w:r>
        <w:rPr/>
        <w:t>“</w:t>
      </w:r>
      <w:r>
        <w:rPr>
          <w:rFonts w:ascii="Times New Roman" w:hAnsi="Times New Roman"/>
          <w:b/>
          <w:i/>
          <w:sz w:val="20"/>
        </w:rPr>
        <w:t>2016 Plan</w:t>
      </w:r>
      <w:r>
        <w:rPr>
          <w:rFonts w:ascii="Times New Roman" w:hAnsi="Times New Roman"/>
          <w:sz w:val="20"/>
        </w:rPr>
        <w:t xml:space="preserve">” means the TheRas, Inc. 2016 Equity Incentive Plan, as amended. </w:t>
      </w:r>
    </w:p>
    <w:p>
      <w:pPr>
        <w:pStyle w:val="TextBody"/>
        <w:bidi w:val="0"/>
        <w:spacing w:before="240" w:after="0"/>
        <w:jc w:val="left"/>
        <w:rPr/>
      </w:pPr>
      <w:r>
        <w:rPr/>
        <w:t>“</w:t>
      </w:r>
      <w:r>
        <w:rPr>
          <w:rFonts w:ascii="Times New Roman" w:hAnsi="Times New Roman"/>
          <w:b/>
          <w:i/>
          <w:sz w:val="20"/>
        </w:rPr>
        <w:t>2025 Plan</w:t>
      </w:r>
      <w:r>
        <w:rPr>
          <w:rFonts w:ascii="Times New Roman" w:hAnsi="Times New Roman"/>
          <w:sz w:val="20"/>
        </w:rPr>
        <w:t xml:space="preserve">” means the BridgeBio Oncology Therapeutics, Inc. 2025 Stock Option and Incentive Plan. </w:t>
      </w:r>
    </w:p>
    <w:p>
      <w:pPr>
        <w:pStyle w:val="TextBody"/>
        <w:bidi w:val="0"/>
        <w:spacing w:before="240" w:after="0"/>
        <w:jc w:val="left"/>
        <w:rPr/>
      </w:pPr>
      <w:r>
        <w:rPr/>
        <w:t>“</w:t>
      </w:r>
      <w:r>
        <w:rPr>
          <w:rFonts w:ascii="Times New Roman" w:hAnsi="Times New Roman"/>
          <w:b/>
          <w:i/>
          <w:sz w:val="20"/>
        </w:rPr>
        <w:t>2025 ESPP</w:t>
      </w:r>
      <w:r>
        <w:rPr>
          <w:rFonts w:ascii="Times New Roman" w:hAnsi="Times New Roman"/>
          <w:sz w:val="20"/>
        </w:rPr>
        <w:t xml:space="preserve">” means the BridgeBio Oncology Therapeutics, Inc. 2025 Employee Stock Purchase Plan. </w:t>
      </w:r>
    </w:p>
    <w:p>
      <w:pPr>
        <w:pStyle w:val="TextBody"/>
        <w:bidi w:val="0"/>
        <w:spacing w:before="240" w:after="0"/>
        <w:jc w:val="left"/>
        <w:rPr/>
      </w:pPr>
      <w:r>
        <w:rPr/>
        <w:t>“</w:t>
      </w:r>
      <w:r>
        <w:rPr>
          <w:rFonts w:ascii="Times New Roman" w:hAnsi="Times New Roman"/>
          <w:b/>
          <w:i/>
          <w:sz w:val="20"/>
        </w:rPr>
        <w:t>2025 Inducement Plan</w:t>
      </w:r>
      <w:r>
        <w:rPr>
          <w:rFonts w:ascii="Times New Roman" w:hAnsi="Times New Roman"/>
          <w:sz w:val="20"/>
        </w:rPr>
        <w:t xml:space="preserve">” means the BridgeBio Oncology Therapeutics, Inc. 2025 Inducement Plan. </w:t>
      </w:r>
    </w:p>
    <w:p>
      <w:pPr>
        <w:pStyle w:val="TextBody"/>
        <w:bidi w:val="0"/>
        <w:spacing w:before="240" w:after="0"/>
        <w:jc w:val="left"/>
        <w:rPr/>
      </w:pPr>
      <w:r>
        <w:rPr/>
        <w:t>“</w:t>
      </w:r>
      <w:r>
        <w:rPr>
          <w:rFonts w:ascii="Times New Roman" w:hAnsi="Times New Roman"/>
          <w:b/>
          <w:i/>
          <w:sz w:val="20"/>
        </w:rPr>
        <w:t>Business Combination</w:t>
      </w:r>
      <w:r>
        <w:rPr>
          <w:rFonts w:ascii="Times New Roman" w:hAnsi="Times New Roman"/>
          <w:sz w:val="20"/>
        </w:rPr>
        <w:t xml:space="preserve">” means, collectively, the Merger, the Domestication and the other transactions contemplated by the Business Combination Agreement. </w:t>
      </w:r>
    </w:p>
    <w:p>
      <w:pPr>
        <w:pStyle w:val="TextBody"/>
        <w:bidi w:val="0"/>
        <w:spacing w:before="240" w:after="0"/>
        <w:jc w:val="left"/>
        <w:rPr/>
      </w:pPr>
      <w:r>
        <w:rPr/>
        <w:t>“</w:t>
      </w:r>
      <w:r>
        <w:rPr>
          <w:rFonts w:ascii="Times New Roman" w:hAnsi="Times New Roman"/>
          <w:b/>
          <w:i/>
          <w:sz w:val="20"/>
        </w:rPr>
        <w:t>Business Combination Agreement</w:t>
      </w:r>
      <w:r>
        <w:rPr>
          <w:rFonts w:ascii="Times New Roman" w:hAnsi="Times New Roman"/>
          <w:sz w:val="20"/>
        </w:rPr>
        <w:t xml:space="preserve">” means the Business Combination Agreement, dated as of February 28, 2025 (as amended by Amendment No. 1 to the Business Combination Agreement, dated as of June 17, 2025, and as it may be further amended, restated, supplemented or otherwise modified from time to time) by and among Helix, Merger Sub, and BBOT. </w:t>
      </w:r>
    </w:p>
    <w:p>
      <w:pPr>
        <w:pStyle w:val="TextBody"/>
        <w:bidi w:val="0"/>
        <w:spacing w:before="240" w:after="0"/>
        <w:jc w:val="left"/>
        <w:rPr/>
      </w:pPr>
      <w:r>
        <w:rPr/>
        <w:t>“</w:t>
      </w:r>
      <w:r>
        <w:rPr>
          <w:rFonts w:ascii="Times New Roman" w:hAnsi="Times New Roman"/>
          <w:b/>
          <w:i/>
          <w:sz w:val="20"/>
        </w:rPr>
        <w:t>Bylaws</w:t>
      </w:r>
      <w:r>
        <w:rPr>
          <w:rFonts w:ascii="Times New Roman" w:hAnsi="Times New Roman"/>
          <w:sz w:val="20"/>
        </w:rPr>
        <w:t xml:space="preserve">” means the bylaws of Company which became effective upon the Domestication. </w:t>
      </w:r>
    </w:p>
    <w:p>
      <w:pPr>
        <w:pStyle w:val="TextBody"/>
        <w:bidi w:val="0"/>
        <w:spacing w:before="240" w:after="0"/>
        <w:jc w:val="left"/>
        <w:rPr/>
      </w:pPr>
      <w:r>
        <w:rPr/>
        <w:t>“</w:t>
      </w:r>
      <w:r>
        <w:rPr>
          <w:rFonts w:ascii="Times New Roman" w:hAnsi="Times New Roman"/>
          <w:b/>
          <w:i/>
          <w:sz w:val="20"/>
        </w:rPr>
        <w:t>Charter</w:t>
      </w:r>
      <w:r>
        <w:rPr>
          <w:rFonts w:ascii="Times New Roman" w:hAnsi="Times New Roman"/>
          <w:sz w:val="20"/>
        </w:rPr>
        <w:t xml:space="preserve">” means the certificate of incorporation of Company which became effective upon the Domestication.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Helix after the consummation of the Domestication, which was renamed BridgeBio Oncology Therapeutics, Inc. </w:t>
      </w:r>
    </w:p>
    <w:p>
      <w:pPr>
        <w:pStyle w:val="TextBody"/>
        <w:bidi w:val="0"/>
        <w:spacing w:before="240" w:after="0"/>
        <w:jc w:val="left"/>
        <w:rPr/>
      </w:pPr>
      <w:r>
        <w:rPr/>
        <w:t>“</w:t>
      </w:r>
      <w:r>
        <w:rPr>
          <w:rFonts w:ascii="Times New Roman" w:hAnsi="Times New Roman"/>
          <w:b/>
          <w:i/>
          <w:sz w:val="20"/>
        </w:rPr>
        <w:t>Closing</w:t>
      </w:r>
      <w:r>
        <w:rPr>
          <w:rFonts w:ascii="Times New Roman" w:hAnsi="Times New Roman"/>
          <w:sz w:val="20"/>
        </w:rPr>
        <w:t xml:space="preserve">” means the closing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Closing Date</w:t>
      </w:r>
      <w:r>
        <w:rPr>
          <w:rFonts w:ascii="Times New Roman" w:hAnsi="Times New Roman"/>
          <w:sz w:val="20"/>
        </w:rPr>
        <w:t xml:space="preserve">” means August 11, 2025. </w:t>
      </w:r>
    </w:p>
    <w:p>
      <w:pPr>
        <w:pStyle w:val="TextBody"/>
        <w:bidi w:val="0"/>
        <w:spacing w:before="240" w:after="0"/>
        <w:jc w:val="left"/>
        <w:rPr/>
      </w:pPr>
      <w:r>
        <w:rPr/>
        <w:t>“</w:t>
      </w:r>
      <w:r>
        <w:rPr>
          <w:rFonts w:ascii="Times New Roman" w:hAnsi="Times New Roman"/>
          <w:b/>
          <w:i/>
          <w:sz w:val="20"/>
        </w:rPr>
        <w:t>DGCL</w:t>
      </w:r>
      <w:r>
        <w:rPr>
          <w:rFonts w:ascii="Times New Roman" w:hAnsi="Times New Roman"/>
          <w:sz w:val="20"/>
        </w:rPr>
        <w:t xml:space="preserve">” means the General Corporation Law of Delaware.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EMA</w:t>
      </w:r>
      <w:r>
        <w:rPr>
          <w:rFonts w:ascii="Times New Roman" w:hAnsi="Times New Roman"/>
          <w:sz w:val="20"/>
        </w:rPr>
        <w:t xml:space="preserve">” means the European Medicines Agency. </w:t>
      </w:r>
    </w:p>
    <w:p>
      <w:pPr>
        <w:pStyle w:val="TextBody"/>
        <w:bidi w:val="0"/>
        <w:spacing w:before="240" w:after="0"/>
        <w:jc w:val="left"/>
        <w:rPr/>
      </w:pPr>
      <w:r>
        <w:rPr/>
        <w:t>“</w:t>
      </w:r>
      <w:r>
        <w:rPr>
          <w:rFonts w:ascii="Times New Roman" w:hAnsi="Times New Roman"/>
          <w:b/>
          <w:i/>
          <w:sz w:val="20"/>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b/>
          <w:i/>
          <w:sz w:val="20"/>
        </w:rPr>
        <w:t>Helix</w:t>
      </w:r>
      <w:r>
        <w:rPr>
          <w:rFonts w:ascii="Times New Roman" w:hAnsi="Times New Roman"/>
          <w:sz w:val="20"/>
        </w:rPr>
        <w:t xml:space="preserve">” means Helix Acquisition Corp. II (which prior to the Domestication was an exempted company incorporated under the laws of the Cayman Islands and following the Domestication is now a corporation incorporated under the laws of the State of Delaware). </w:t>
      </w:r>
    </w:p>
    <w:p>
      <w:pPr>
        <w:pStyle w:val="TextBody"/>
        <w:bidi w:val="0"/>
        <w:spacing w:before="240" w:after="0"/>
        <w:jc w:val="left"/>
        <w:rPr/>
      </w:pPr>
      <w:r>
        <w:rPr/>
        <w:t>“</w:t>
      </w:r>
      <w:r>
        <w:rPr>
          <w:rFonts w:ascii="Times New Roman" w:hAnsi="Times New Roman"/>
          <w:b/>
          <w:i/>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Sponsor</w:t>
      </w:r>
      <w:r>
        <w:rPr>
          <w:rFonts w:ascii="Times New Roman" w:hAnsi="Times New Roman"/>
          <w:sz w:val="20"/>
        </w:rPr>
        <w:t xml:space="preserve">” means Helix Holdings II LLC, a Cayman Islands limited liability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128473_2"/>
      <w:bookmarkEnd w:id="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exercise of the Options. We will receive proceeds from any exercise of the Options for cash.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128473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included elsewhere in this prospectus. Unless the context otherwise requires, the terms “BBOT,” “the Company,” “we,” “us” and “our” in this prospectus refer to BridgeBio Oncology Therapeutics, Inc. and its consolidated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BBOT is a clinical-stage biotechnology company advancing a next-generation pipeline of novel small-molecule therapeutics targeting RAS and Phosphoinositide 3-kinase (“PI3K”).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consists of three orally bioavailable small molecule inhibitors that were designed and optimized within BBOT with the goal to provide patients with significant benefit over standard of care. Additionally, we believe BBOT has the opportunity to provide further benefit to patients with KRAS mutant tumors through combination of our inhibitors. We believe our pipeline has the opportunity to address a large number of patients afflicted with metastatic cancer.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7545" cy="31648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5757545" cy="3164840"/>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BBO-8520 is an orally bioavailable small molecule direct inhibitor targeting both the ON and OFF states of KRAS. The U.S. Food and Drug Administration (FDA) has granted Fast Track designation to BBO-8520 for the treatment of adult patients with previously treated, KRAS G12C-mutated metastatic non-small cell lung cancer (“NSCLC”). ONKORAS-101 is an open-label, multi-center Phase 1a/1b study designed to evaluate the safety, tolerability, preliminary antitumor activity, and pharmacokinetics of BBO-8520 as a single agent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combination with pembrolizumab in patients with KRASG12C mutant NSCLC. BBO-8520 in combination with pembrolizumab, at active dose levels, demonstrated promising efficacy data and a distinct safety profile, including a potentially differentiated liver toxicity profile. Updated clinical data are expected in the second half of 2026 and an internal combination study with BBO-10203 opened in April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BBO-11818 is an orally bioavailable small molecule pan-KRAS inhibitor that targets mutant KRAS in both the ON and OFF states. On April 20, 2026 we announced that BBOT was granted U.S. FDA Fast Track designation for BBO-11818 for the treatment of adult patients with advanced KRAS-mutant PDAC. Updated Phase 1 clinical data are expected in the second half of 2026. An internal combination study with BBO-10203 opened in July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BBO-10203 is an orally bioavailable small molecule with a novel mechanism of action designed to inhibit the physical interaction between RAS and PI3Kα, inhibiting RAS-driven PI3Kα-AKT signaling in tumors. Updated clinical data are expected in the second half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was established in August 2016 by BridgeBio Pharma Inc. (“BridgeBio Pharma”) under the name, TheRas, Inc. We operated as part of BridgeBio Pharma through April 30, 2024. TheRas entered into the Business Combination Agreement with Helix listed on Nasdaq under the ticker symbol “HLXB.” On August 11, 2025, pursuant to the Merger, Helix II Merger Sub, Inc., a wholly owned subsidiary of Helix, merged with and into TheRas, with TheRas surviving the merger as a wholly-owned subsidiary of Helix. In connection with the Merger, Helix changed its name to BridgeBio Oncology Therapeutics, Inc., and the combined company became listed on Nasdaq under the new ticker symbol “BBOT.” Our principal executive offices are located at 256 E. Grand Avenue, Suite 104, South San Francisco, CA 94080. Our telephone number is (650) 405-4770.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 page address is </w:t>
      </w:r>
      <w:r>
        <w:rPr>
          <w:rFonts w:ascii="Times New Roman" w:hAnsi="Times New Roman"/>
          <w:sz w:val="20"/>
          <w:u w:val="single"/>
          <w:bdr w:val="single" w:sz="8" w:space="1" w:color="000000"/>
        </w:rPr>
        <w:t>https://bbotx.com</w:t>
      </w:r>
      <w:r>
        <w:rPr>
          <w:rFonts w:ascii="Times New Roman" w:hAnsi="Times New Roman"/>
          <w:sz w:val="20"/>
          <w:bdr w:val="single" w:sz="8" w:space="1" w:color="000000"/>
        </w:rPr>
        <w:t xml:space="preserve">. Our investor relations website is located at </w:t>
      </w:r>
      <w:r>
        <w:rPr>
          <w:rFonts w:ascii="Times New Roman" w:hAnsi="Times New Roman"/>
          <w:sz w:val="20"/>
          <w:u w:val="single"/>
          <w:bdr w:val="single" w:sz="8" w:space="1" w:color="000000"/>
        </w:rPr>
        <w:t>https://investors.bbotx.com</w:t>
      </w:r>
      <w:r>
        <w:rPr>
          <w:rFonts w:ascii="Times New Roman" w:hAnsi="Times New Roman"/>
          <w:sz w:val="20"/>
          <w:bdr w:val="single" w:sz="8" w:space="1" w:color="000000"/>
        </w:rPr>
        <w:t xml:space="preserve">. We make available free of charge on our investor relations website under “SEC Filings” our Annual Reports on Form 10-K, Quarterly Reports on Form 10-Q, Current Reports on Form 8-K, including exhibits, our directors’ and officers’ Section 16 Reports and any amendments to those reports after filing or furnishing such materials to the SEC. References to our website address do not constitute incorporation by reference of the information contained on the website, and the information contained on the website is not part of this document or any other document that we file with or furnish to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 w:hAnsi="Times New Roman"/>
          <w:i/>
          <w:sz w:val="20"/>
          <w:bdr w:val="single" w:sz="8" w:space="1" w:color="000000"/>
        </w:rPr>
        <w:t>Management’s Discussion and Analysis of Financial Condition and Results of Operations</w:t>
      </w:r>
      <w:r>
        <w:rPr>
          <w:rFonts w:ascii="Times New Roman" w:hAnsi="Times New Roman"/>
          <w:sz w:val="20"/>
          <w:bdr w:val="single" w:sz="8" w:space="1" w:color="000000"/>
        </w:rPr>
        <w:t xml:space="preserve">” in our periodic reports and registration statements, including this prospectus, subject to certain exceptions, (ii) not being required to have our internal control over financial reporting be audited by our independent registered public accounting firm pursuant to Section 404 of the Sarbanes-Oxley Act of 2002, as amended (the “Sarbanes-Oxley Act”), (iii) certain reduced disclosure requirements related to the disclosure of executive compensation in this prospectus and in our periodic reports and proxy statements, (iv) 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(v) exemptions from the requirement that we hold a nonbinding advisory vote on executive compensation and any golden parachute payments. We may take advantage of these exemptions until we are no longer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2029 (the last day of the fiscal year ending after the fifth anniversary Helix’s initial public offering in February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rom128473_4"/>
      <w:bookmarkEnd w:id="6"/>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w:t>
      </w:r>
      <w:r>
        <w:rPr>
          <w:rFonts w:ascii="Times New Roman" w:hAnsi="Times New Roman"/>
          <w:i/>
          <w:sz w:val="20"/>
          <w:bdr w:val="single" w:sz="8" w:space="1" w:color="000000"/>
        </w:rPr>
        <w:t>Description of Capital Stock</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Resale of Common Stock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Securityholders </w:t>
            </w:r>
          </w:p>
        </w:tc>
        <w:tc>
          <w:tcPr>
            <w:tcW w:w="8373" w:type="dxa"/>
            <w:tcBorders/>
            <w:vAlign w:val="center"/>
          </w:tcPr>
          <w:p>
            <w:pPr>
              <w:pStyle w:val="TableContents"/>
              <w:bidi w:val="0"/>
              <w:spacing w:before="0" w:after="283"/>
              <w:jc w:val="left"/>
              <w:rPr/>
            </w:pPr>
            <w:r>
              <w:rPr/>
              <w:t xml:space="preserve">Up to 63,054,549 shares of Common Stock consisting of (i) up to 24,343,711 PIPE Shares, (ii) up to 4,648,186 shares of Common Stock issued in connection with the Business Combination, (iii) up to 32,155,445 shares of Common Stock issued or issuable to equity holders of the Company pursuant to the Business Combination and (iv) 1,907,207 shares of Common Stock issuable upon exercise of stock options at exercise prices ranging from $1.02 to $7.88 per share, issued to certain of our affiliates upon conversion of Options in connection with the Business Combination.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359" w:type="dxa"/>
            <w:tcBorders/>
            <w:vAlign w:val="center"/>
          </w:tcPr>
          <w:p>
            <w:pPr>
              <w:pStyle w:val="TableContents"/>
              <w:bidi w:val="0"/>
              <w:spacing w:before="0" w:after="283"/>
              <w:jc w:val="left"/>
              <w:rPr/>
            </w:pPr>
            <w:r>
              <w:rPr/>
              <w:t xml:space="preserve">All of the shares of Common Stock offered by the Selling Securityholders pursuant to this prospectus will be sold by the Selling Securityholders for their respective accounts. We will not receive any of the proceeds from these sales, except to the extent the Options are exercised for cash. We may receive an aggregate of up to $8.37 million, assuming the exercise in full of the Options for cash. We expect to use the net proceeds from the exercise of the Options, if any, for general corporate purposes. See “Use of Proceeds” in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9100" w:type="dxa"/>
        <w:jc w:val="left"/>
        <w:tblInd w:w="0" w:type="dxa"/>
        <w:tblLayout w:type="fixed"/>
        <w:tblCellMar>
          <w:top w:w="0" w:type="dxa"/>
          <w:left w:w="0" w:type="dxa"/>
          <w:bottom w:w="0" w:type="dxa"/>
          <w:right w:w="0" w:type="dxa"/>
        </w:tblCellMar>
      </w:tblPr>
      <w:tblGrid>
        <w:gridCol w:w="2555"/>
        <w:gridCol w:w="6545"/>
      </w:tblGrid>
      <w:tr>
        <w:trPr/>
        <w:tc>
          <w:tcPr>
            <w:tcW w:w="255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Market for our Common Stock </w:t>
            </w:r>
          </w:p>
        </w:tc>
        <w:tc>
          <w:tcPr>
            <w:tcW w:w="6545" w:type="dxa"/>
            <w:tcBorders/>
            <w:vAlign w:val="center"/>
          </w:tcPr>
          <w:p>
            <w:pPr>
              <w:pStyle w:val="TableContents"/>
              <w:bidi w:val="0"/>
              <w:spacing w:before="0" w:after="283"/>
              <w:jc w:val="left"/>
              <w:rPr/>
            </w:pPr>
            <w:r>
              <w:rPr/>
              <w:t xml:space="preserve">Our Common Stock is listed on Nasdaq under the symbol “BBOT”.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27"/>
        <w:gridCol w:w="9378"/>
      </w:tblGrid>
      <w:tr>
        <w:trPr/>
        <w:tc>
          <w:tcPr>
            <w:tcW w:w="827"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9378" w:type="dxa"/>
            <w:tcBorders/>
            <w:vAlign w:val="center"/>
          </w:tcPr>
          <w:p>
            <w:pPr>
              <w:pStyle w:val="TableContents"/>
              <w:bidi w:val="0"/>
              <w:spacing w:before="0" w:after="283"/>
              <w:jc w:val="left"/>
              <w:rPr/>
            </w:pPr>
            <w:r>
              <w:rPr/>
              <w:t xml:space="preserve">See “Risk Factors” section of this prospectus and other information included and incorporated by reference in this prospectus for a discussion of factors you should consider before investing in our securities.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rom128473_5"/>
      <w:bookmarkEnd w:id="7"/>
      <w:r>
        <w:rPr>
          <w:rFonts w:ascii="Times New Roman" w:hAnsi="Times New Roman"/>
          <w:b/>
          <w:sz w:val="20"/>
          <w:bdr w:val="single" w:sz="8" w:space="1" w:color="000000"/>
        </w:rPr>
        <w:t xml:space="preserve">CAUTIONARY NOTE REGARDING FORWARD-LOOKING STATEMENTS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but are not limited to: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related to the success, cost and timing of product development activities, including timing of initiation, completion and data readouts for clinical trials and the potential approval of our product candidates, including the progress and results of the ONKORAS-101, BREAKER-101 and KONQUER-101 clinical trials; </w:t>
            </w:r>
          </w:p>
        </w:tc>
      </w:tr>
    </w:tbl>
    <w:p>
      <w:pPr>
        <w:pStyle w:val="TextBody"/>
        <w:bidi w:val="0"/>
        <w:spacing w:before="0" w:after="0"/>
        <w:jc w:val="left"/>
        <w:rPr>
          <w:bdr w:val="single" w:sz="8" w:space="1" w:color="000000"/>
        </w:rPr>
      </w:pPr>
      <w:r>
        <w:rPr>
          <w:bdr w:val="single" w:sz="8" w:space="1" w:color="000000"/>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and therapeutic potential of BBO-8520, BBO-10203 and BBO-11818; </w:t>
            </w:r>
          </w:p>
        </w:tc>
      </w:tr>
    </w:tbl>
    <w:p>
      <w:pPr>
        <w:pStyle w:val="TextBody"/>
        <w:bidi w:val="0"/>
        <w:spacing w:before="0" w:after="0"/>
        <w:jc w:val="left"/>
        <w:rPr>
          <w:bdr w:val="single" w:sz="8" w:space="1" w:color="000000"/>
        </w:rPr>
      </w:pPr>
      <w:r>
        <w:rPr>
          <w:bdr w:val="single" w:sz="8" w:space="1" w:color="000000"/>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w:t>
            </w:r>
          </w:p>
        </w:tc>
      </w:tr>
    </w:tbl>
    <w:p>
      <w:pPr>
        <w:pStyle w:val="TextBody"/>
        <w:bidi w:val="0"/>
        <w:spacing w:before="0" w:after="0"/>
        <w:jc w:val="left"/>
        <w:rPr>
          <w:bdr w:val="single" w:sz="8" w:space="1" w:color="000000"/>
        </w:rPr>
      </w:pPr>
      <w:r>
        <w:rPr>
          <w:bdr w:val="single" w:sz="8" w:space="1" w:color="000000"/>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and curative potential of our product candidates; </w:t>
            </w:r>
          </w:p>
        </w:tc>
      </w:tr>
    </w:tbl>
    <w:p>
      <w:pPr>
        <w:pStyle w:val="TextBody"/>
        <w:bidi w:val="0"/>
        <w:spacing w:before="0" w:after="0"/>
        <w:jc w:val="left"/>
        <w:rPr>
          <w:bdr w:val="single" w:sz="8" w:space="1" w:color="000000"/>
        </w:rPr>
      </w:pPr>
      <w:r>
        <w:rPr>
          <w:bdr w:val="single" w:sz="8" w:space="1" w:color="000000"/>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projected financial information, anticipated growth rate and market opportunities; </w:t>
            </w:r>
          </w:p>
        </w:tc>
      </w:tr>
    </w:tbl>
    <w:p>
      <w:pPr>
        <w:pStyle w:val="TextBody"/>
        <w:bidi w:val="0"/>
        <w:spacing w:before="0" w:after="0"/>
        <w:jc w:val="left"/>
        <w:rPr>
          <w:bdr w:val="single" w:sz="8" w:space="1" w:color="000000"/>
        </w:rPr>
      </w:pPr>
      <w:r>
        <w:rPr>
          <w:bdr w:val="single" w:sz="8" w:space="1" w:color="000000"/>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Nasdaq; </w:t>
            </w:r>
          </w:p>
        </w:tc>
      </w:tr>
    </w:tbl>
    <w:p>
      <w:pPr>
        <w:pStyle w:val="TextBody"/>
        <w:bidi w:val="0"/>
        <w:spacing w:before="0" w:after="0"/>
        <w:jc w:val="left"/>
        <w:rPr>
          <w:bdr w:val="single" w:sz="8" w:space="1" w:color="000000"/>
        </w:rPr>
      </w:pPr>
      <w:r>
        <w:rPr>
          <w:bdr w:val="single" w:sz="8" w:space="1" w:color="000000"/>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liquidity and trading volatility of our Common Stock; </w:t>
            </w:r>
          </w:p>
        </w:tc>
      </w:tr>
    </w:tbl>
    <w:p>
      <w:pPr>
        <w:pStyle w:val="TextBody"/>
        <w:bidi w:val="0"/>
        <w:spacing w:before="0" w:after="0"/>
        <w:jc w:val="left"/>
        <w:rPr>
          <w:bdr w:val="single" w:sz="8" w:space="1" w:color="000000"/>
        </w:rPr>
      </w:pPr>
      <w:r>
        <w:rPr>
          <w:bdr w:val="single" w:sz="8" w:space="1" w:color="000000"/>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bdr w:val="single" w:sz="8" w:space="1" w:color="000000"/>
        </w:rPr>
      </w:pPr>
      <w:r>
        <w:rPr>
          <w:bdr w:val="single" w:sz="8" w:space="1" w:color="000000"/>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recruiting, or changes required in, officers, key employees or directors; </w:t>
            </w:r>
          </w:p>
        </w:tc>
      </w:tr>
    </w:tbl>
    <w:p>
      <w:pPr>
        <w:pStyle w:val="TextBody"/>
        <w:bidi w:val="0"/>
        <w:spacing w:before="0" w:after="0"/>
        <w:jc w:val="left"/>
        <w:rPr>
          <w:bdr w:val="single" w:sz="8" w:space="1" w:color="000000"/>
        </w:rPr>
      </w:pPr>
      <w:r>
        <w:rPr>
          <w:bdr w:val="single" w:sz="8" w:space="1" w:color="000000"/>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current and potential future product candidates; </w:t>
            </w:r>
          </w:p>
        </w:tc>
      </w:tr>
    </w:tbl>
    <w:p>
      <w:pPr>
        <w:pStyle w:val="TextBody"/>
        <w:bidi w:val="0"/>
        <w:spacing w:before="0" w:after="0"/>
        <w:jc w:val="left"/>
        <w:rPr>
          <w:bdr w:val="single" w:sz="8" w:space="1" w:color="000000"/>
        </w:rPr>
      </w:pPr>
      <w:r>
        <w:rPr>
          <w:bdr w:val="single" w:sz="8" w:space="1" w:color="000000"/>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for our technologies and our product candidates; </w:t>
            </w:r>
          </w:p>
        </w:tc>
      </w:tr>
    </w:tbl>
    <w:p>
      <w:pPr>
        <w:pStyle w:val="TextBody"/>
        <w:bidi w:val="0"/>
        <w:spacing w:before="0" w:after="0"/>
        <w:jc w:val="left"/>
        <w:rPr>
          <w:bdr w:val="single" w:sz="8" w:space="1" w:color="000000"/>
        </w:rPr>
      </w:pPr>
      <w:r>
        <w:rPr>
          <w:bdr w:val="single" w:sz="8" w:space="1" w:color="000000"/>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current and any potential future product candidates; </w:t>
            </w:r>
          </w:p>
        </w:tc>
      </w:tr>
    </w:tbl>
    <w:p>
      <w:pPr>
        <w:pStyle w:val="TextBody"/>
        <w:bidi w:val="0"/>
        <w:spacing w:before="0" w:after="0"/>
        <w:jc w:val="left"/>
        <w:rPr>
          <w:bdr w:val="single" w:sz="8" w:space="1" w:color="000000"/>
        </w:rPr>
      </w:pPr>
      <w:r>
        <w:rPr>
          <w:bdr w:val="single" w:sz="8" w:space="1" w:color="000000"/>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international jurisdictions;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lawsuits and penalties related to our technologies, product candidates and current and future relationships with third parties; </w:t>
            </w:r>
          </w:p>
        </w:tc>
      </w:tr>
    </w:tbl>
    <w:p>
      <w:pPr>
        <w:pStyle w:val="TextBody"/>
        <w:bidi w:val="0"/>
        <w:spacing w:before="0" w:after="0"/>
        <w:jc w:val="left"/>
        <w:rPr>
          <w:bdr w:val="single" w:sz="8" w:space="1" w:color="000000"/>
        </w:rPr>
      </w:pPr>
      <w:r>
        <w:rPr>
          <w:bdr w:val="single" w:sz="8" w:space="1" w:color="000000"/>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bdr w:val="single" w:sz="8" w:space="1" w:color="000000"/>
        </w:rPr>
      </w:pPr>
      <w:r>
        <w:rPr>
          <w:bdr w:val="single" w:sz="8" w:space="1" w:color="000000"/>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the growth of operations; </w:t>
            </w:r>
          </w:p>
        </w:tc>
      </w:tr>
    </w:tbl>
    <w:p>
      <w:pPr>
        <w:pStyle w:val="TextBody"/>
        <w:bidi w:val="0"/>
        <w:spacing w:before="0" w:after="0"/>
        <w:jc w:val="left"/>
        <w:rPr>
          <w:bdr w:val="single" w:sz="8" w:space="1" w:color="000000"/>
        </w:rPr>
      </w:pPr>
      <w:r>
        <w:rPr>
          <w:bdr w:val="single" w:sz="8" w:space="1" w:color="000000"/>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bdr w:val="single" w:sz="8" w:space="1" w:color="000000"/>
        </w:rPr>
      </w:pPr>
      <w:r>
        <w:rPr>
          <w:bdr w:val="single" w:sz="8" w:space="1" w:color="000000"/>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and maintain effective internal controls; </w:t>
            </w:r>
          </w:p>
        </w:tc>
      </w:tr>
    </w:tbl>
    <w:p>
      <w:pPr>
        <w:pStyle w:val="TextBody"/>
        <w:bidi w:val="0"/>
        <w:spacing w:before="0" w:after="0"/>
        <w:jc w:val="left"/>
        <w:rPr>
          <w:bdr w:val="single" w:sz="8" w:space="1" w:color="000000"/>
        </w:rPr>
      </w:pPr>
      <w:r>
        <w:rPr>
          <w:bdr w:val="single" w:sz="8" w:space="1" w:color="000000"/>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supply chain disruptions;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unfavorable global economic conditions, including inflationary pressures, market volatility, acts of war and civil and political unrest; and </w:t>
            </w:r>
          </w:p>
        </w:tc>
      </w:tr>
    </w:tbl>
    <w:p>
      <w:pPr>
        <w:pStyle w:val="TextBody"/>
        <w:bidi w:val="0"/>
        <w:spacing w:before="0" w:after="0"/>
        <w:jc w:val="left"/>
        <w:rPr>
          <w:bdr w:val="single" w:sz="8" w:space="1" w:color="000000"/>
        </w:rPr>
      </w:pPr>
      <w:r>
        <w:rPr>
          <w:bdr w:val="single" w:sz="8" w:space="1" w:color="000000"/>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These forward-looking statements are based on information available as of the date of this prospectus and current expectations, forecasts and assumptions, and involve a number of judgments, risks and uncertainties. These and other factors that could cause actual results to differ from those implied by the forward-looking statements in this prospectus are more fully described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and elsewhere in this prospectus. The risks described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are not exhaustive. New risk factors emerge from time to time and it is not possible to predict all such risk factors, nor can we assess the impact of all such risk factors on its business, or the extent to which any factor or combination of factors may cause actual results to differ materially from those contained in any forward-looking statements. All forward-looking statements attributable to us or persons acting on their behalf are expressly qualified in their entirety by the foregoing cautionary statements. We undertake no obligations to update or revise publicly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128473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Before deciding whether to invest in our securities, in addition to the risks and uncertainties discussed above under “</w:t>
      </w:r>
      <w:r>
        <w:rPr>
          <w:rFonts w:ascii="Times New Roman" w:hAnsi="Times New Roman"/>
          <w:i/>
          <w:sz w:val="20"/>
        </w:rPr>
        <w:t>Cautionary Note Regarding Forward-Looking Statements</w:t>
      </w:r>
      <w:r>
        <w:rPr>
          <w:rFonts w:ascii="Times New Roman" w:hAnsi="Times New Roman"/>
          <w:sz w:val="20"/>
        </w:rPr>
        <w:t xml:space="preserve">,” you should carefully consider the risks factors incorporated herein by reference to our most recent Annual Report on Form 10-K and in any subsequent Quarterly Reports on Form 10-Q or Current Reports on Form 8-K, we file after the date of this prospectus, all other information contained or incorporated by reference into this prospectus, as updated by our subsequent filings under the Exchange Act, and the risk factors and other information contained in any applicable prospectus supplement.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Additional risks and uncertainties not presently known to us or that we currently deem immaterial may also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128473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securities offered by the Selling Securityholders pursuant to this prospectus will be sold by the Selling Securityholders for their respective accounts. We will not receive any of the proceeds from these sales. </w:t>
      </w:r>
    </w:p>
    <w:p>
      <w:pPr>
        <w:pStyle w:val="TextBody"/>
        <w:bidi w:val="0"/>
        <w:spacing w:before="240" w:after="0"/>
        <w:jc w:val="left"/>
        <w:rPr>
          <w:rFonts w:ascii="Times New Roman" w:hAnsi="Times New Roman"/>
          <w:sz w:val="20"/>
        </w:rPr>
      </w:pPr>
      <w:r>
        <w:rPr>
          <w:rFonts w:ascii="Times New Roman" w:hAnsi="Times New Roman"/>
          <w:sz w:val="20"/>
        </w:rPr>
        <w:t xml:space="preserve">Assuming the exercise of all outstanding Options for cash, we will receive an aggregate of approximately $8.37 million, but will not receive any proceeds from the sale of the shares of Common Stock issuable upon such exercise. We expect to use the net proceeds from the exercise of the Options, if any, for working capital and general corporate purposes. We will have broad discretion over the use of any proceeds from the exercise of the Options. There is no assurance that the holders of the Options will elect to exercise for cash any or all such Options.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128473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terms of our securities is not intended to be a complete summary of the rights and preferences of such securities, and is qualified by reference to the Charter and the Bylaws, which are exhibits to the registration statement of which this prospectus is a part. We urge you to read each of the Charter and the Bylaws described herein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510,000,000 shares of capital stock, consisting of (i) 500,000,000 shares of common stock, par value $0.0001 per share (the “Common Stock”) and (ii) 10,000,000 shares of undesignated preferred stock, par value $0.0001 per share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that such holders shall not be entitled to vote on any amendment to the Charter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the Charter (or pursuant to a certificate of designations of any series of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dividends may be declared and paid or set apart for payment upon common stock out of any assets or funds of the Company legally available for the payment of dividends, but only when and as declared by the board of directors or any authorized committee thereof;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voluntary or involuntary liquidation, dissolution or winding up of the Company, the net assets of the Company shall be distributed pro rata to the holders of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shares of Preferred Stock may be issued from time to time in one or more series. Our board of directors is authorized to fix the voting rights, if any, designations, powers, preferences and relative, participating, optional, special and other rights, if any, and any qualifications, limitations and restrictions thereof, applicable to the shares of each series. Our board of directors is able, without stockholder approval, to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The Company has no Preferred Stock outstanding at the date hereof. Although the Company does not currently intend to issue any shares of Preferred Stock, it cannot assure you that the Company will not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Under the Charter, holders of Common Stock are entitled to receive ratable dividends, if any, as may be declared from time-to-time by our board of directors out of legally available assets or funds. There are no current plans to pay cash dividends on Common Stock for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under the current Charter and the Bylaws,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 under the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Charter does not provide for any preemptive or other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and is divided into three classes designated as Class I, Class II and Class III. Class I directors shall serve for a term expiring at the annual meeting of stockholders to be held in 2029. Class II and Class III directors will initially serve for a term expiring at the annual meeting of stockholders to be held in 2027 and 2028,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Charter, directors are elected by a plurality voting standard, whereby each of our stockholders may not give more than one vote per share towards any one director nominee. There are no cumulative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Annual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Annual stockholder meetings will be held at a date, time and place, if any, as exclusively selected by our board of directors. To the extent permitted under applicable law, the Company may conduct meetings by means of remote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Bylaws provide for the indemnification of current and former officers and directors of the Company to the fullest extent permitted by Delaware law. The Company has entered into agreements with our officers and directors to provide contractual indemnification in addition to the indemnification provided for in the Charter. </w:t>
      </w:r>
    </w:p>
    <w:p>
      <w:pPr>
        <w:pStyle w:val="TextBody"/>
        <w:bidi w:val="0"/>
        <w:spacing w:before="240" w:after="0"/>
        <w:jc w:val="left"/>
        <w:rPr>
          <w:rFonts w:ascii="Times New Roman" w:hAnsi="Times New Roman"/>
          <w:sz w:val="20"/>
        </w:rPr>
      </w:pPr>
      <w:r>
        <w:rPr>
          <w:rFonts w:ascii="Times New Roman" w:hAnsi="Times New Roman"/>
          <w:sz w:val="20"/>
        </w:rPr>
        <w:t xml:space="preserve">The Company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Helix purchased a tail policy with respect to liability coverage for the benefit of our current officers and directors on the same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similar terms of Helix’s prior policy. The Company will maintain such tail policy for a period of six years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discourage current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the Company pays the costs of settlement and damage awards against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these provisions, the directors’ and officers’ liability insurance and the indemnity agreements are necessary to attract and retain talented and experienced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of Delaware Law,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Charter, Bylaws and the DGCL contains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our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Company’s organizational documents establish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or a claim based on, a breach of a fiduciary duty owed by any current or former director, officer or other employee or stockholder of the Company to the Company or the Company’s stockholders, (iii) any action asserting a claim arising pursuant to any provision of the DGCL or the Charter or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will not apply to any causes of action arising under the Securities Act, or the Exchange Act, or to any claim for which the federal courts have exclusive jurisdiction. Unless the Company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of Director Nominations and New Business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advance notice requirements for nominations for elections to our board of directors or for proposing matters that can be acted upon by stockholders at stockholder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“BBOT”.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Company entered into an Amended and Restated Registration Rights Agreement, with certain stockholders, pursuant to which, among other things, such stockholders have specified rights to require the Company to register all or a portion of their shares of Common Stock under the Securities Act and provide customary demand as well as piggyback registration rights. The Company also entered into Subscription Agreements with certain investors which also contain certain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128473_9"/>
      <w:bookmarkEnd w:id="11"/>
      <w:r>
        <w:rPr>
          <w:rFonts w:ascii="Times New Roman" w:hAnsi="Times New Roman"/>
          <w:b/>
          <w:sz w:val="20"/>
        </w:rPr>
        <w:t xml:space="preserve">SECURITIES ACT RESTRICTIONS ON RESALE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Resales under Rule 144 </w:t>
      </w:r>
    </w:p>
    <w:p>
      <w:pPr>
        <w:pStyle w:val="TextBody"/>
        <w:bidi w:val="0"/>
        <w:spacing w:before="120" w:after="0"/>
        <w:jc w:val="left"/>
        <w:rPr>
          <w:rFonts w:ascii="Times New Roman" w:hAnsi="Times New Roman"/>
          <w:sz w:val="20"/>
        </w:rPr>
      </w:pPr>
      <w:r>
        <w:rPr>
          <w:rFonts w:ascii="Times New Roman" w:hAnsi="Times New Roman"/>
          <w:sz w:val="20"/>
        </w:rPr>
        <w:t xml:space="preserve">Under the Securities Act, securities may be sold only if the sale is registered under the Securities Act or qualifies for an exemption from registration, including an exemption under Rule 144 under the Securities Act (“Rule 144”). Rule 144(b)(1) provides a safe harbor pursuant to which certain persons may sell shares of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securities pursuant to Rule 144(b)(1) are as follows: (i) the person selling the shares must not be an affiliate of ours at the time of the sale, and must not have been an affiliate of ours during the preceding three months, and (2) either (A) at least one year must have elapsed since the date of acquisition of the restricted securities from us or any of its affiliates or (B) if we satisfies the current public information requirements set forth in Rule 144, at least six months have elapsed since the date of acquisition of the restricted securities from us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Rule 144(b)(2) provides a safe harbor pursuant to which persons who are affiliates of ours may sell shares of its stock, whether restricted securities or not, without registration under the Securities Act if certain conditions are met. In general, the conditions that must be met for a person who is an affiliate of ours (or has been within three months prior to the date of sale) to sell shares of stock of ours pursuant to Rule 144(b)(2) are as follows (1) if the shares being sold are restricted securities, at least six months must have elapsed since the date of acquisition of the shares of stock from us or any of its affiliates, (2) the seller must comply with volume limitations, manner of sale restrictions and notice requirements and (3) we must satisfy the current public information requirements set forth in Rule 144. In order to comply with the volume limitations, a seller may not sell, in any three month period, more than the following number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 of the shares of our common stock then outstanding as shown by the most recent report or statement published by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volume of trading in our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volume of trading in such securities reported pursuant to an effective transaction report plan or an effective national market system plan, as defined in Regulation NMS under the Exchange Act, during the four week period described in the preceding bullet.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unless the following conditions are met: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no longer a shell company, and as a result, once the conditions set forth in the exceptions listed above are satisfied, Rule 144 will become available for the resale of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Rule 145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to be issued to certain persons or entities pursuant to the registration statement of which this prospectus forms a part will be subject to the provisions of Rule 145 under the Securities Act (“Rule 145”). Under Rule 145, a person or entity that is an affiliate of a party to a merger, acquisition or reclassification (the “merger”) at the time they are submitted for vote or consent is deemed to be an underwriter in connection with any transaction to publicly offer or sell securities acquired in the merger unless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set forth under “Restrictions on the Use of Rule 144 by Shell Companies or Former Shell Companies” are met;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(i) the sale occurs at least 90 days after the securities were acquired in the merger and the conditions applicable to resales under Rule 144(b)(2), other than the notice requirement, are satisfied or (ii) for a person who is not an affiliate of ours on the date of sale (and has not been an affiliate of ours within three months prior to the date of sale), either (A) at least one year has elapsed since the securities were acquired in the merger or (B) if we satisfy the current public information requirements set forth in Rule 144, at least six months have elapsed since the securities were acquired in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subject to Rule 145 may be resold pursuant to a registration statement registering their resale which is also registering the resales of the securities acquired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128473_10"/>
      <w:bookmarkEnd w:id="12"/>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offer and resale by the Selling Securityholders of up to 63,054,549 Common Stock, consisting of up to (i) 24,343,711 PIPE shares issued in the PIPE Financing at a per share price of $10.7173 per share, (ii) 4,648,186 shares of Common Stock issued to the Sponsor and certain initial shareholders of Helix in connection with the Business Combination, (iii) 32,155,445 shares of Common Stock issued or issuable to certain equity holders of the Company pursuant to the Business Combination and (iv) 1,907,207 shares of Common Stock issuable upon exercise of stock options at exercise prices ranging from $1.02 to $7.88 per share, issued to certain of our affiliates. Sales of the foregoing shares of Common Stock, which comprise a significant portion of our public float, by the Selling Securityholders, or the perception that such sales may occur, could have a significant negative impact on the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The Selling Securityholders may from time to time offer and sell any or all of the Common Stock set forth below pursuant to this prospectus. When we refer to the “</w:t>
      </w:r>
      <w:r>
        <w:rPr>
          <w:rFonts w:ascii="Times New Roman" w:hAnsi="Times New Roman"/>
          <w:i/>
          <w:sz w:val="20"/>
        </w:rPr>
        <w:t>Selling Securityholders”</w:t>
      </w:r>
      <w:r>
        <w:rPr>
          <w:rFonts w:ascii="Times New Roman" w:hAnsi="Times New Roman"/>
          <w:sz w:val="20"/>
        </w:rPr>
        <w:t xml:space="preserve"> in this prospectus, we mean the persons listed in the table below, and the pledgees, donees, transferees, assignees, successors and others who later come to hold any of the Selling Securityholders’ interest in the Common Stock after the date of this prospectus such that registration rights shall apply to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prepared based on information provided to us by the Selling Securityholders. It sets forth the name and address of the Selling Securityholders, the aggregate number of Common Stock that the Selling Securityholders may offer pursuant to this prospectus, and the beneficial ownership of the Selling Securityholders both before and after the offering. We have based percentage ownership after this offering on 79,196,710 shares of common stock outstanding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24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Plan of Distribution</w:t>
      </w:r>
      <w:r>
        <w:rPr>
          <w:rFonts w:ascii="Times New Roman" w:hAnsi="Times New Roman"/>
          <w:sz w:val="20"/>
        </w:rPr>
        <w:t>” for further information regarding the Selling Securityholders’ method of distributing these securities. For information regarding transactions between us and the Selling Securityholders, see the section entitled “</w:t>
      </w:r>
      <w:r>
        <w:rPr>
          <w:rFonts w:ascii="Times New Roman" w:hAnsi="Times New Roman"/>
          <w:i/>
          <w:sz w:val="20"/>
        </w:rPr>
        <w:t>Certain Relationships and Related Person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below, the address of each Selling Securityholder listed in the tables below is c/o BridgeBio Oncology Therapeutics, Inc., 256 E. Grand Avenue, Suite 104, South San Francisco, CA 94080.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85"/>
        <w:gridCol w:w="120"/>
        <w:gridCol w:w="92"/>
        <w:gridCol w:w="1503"/>
        <w:gridCol w:w="60"/>
        <w:gridCol w:w="120"/>
        <w:gridCol w:w="92"/>
        <w:gridCol w:w="1503"/>
        <w:gridCol w:w="60"/>
        <w:gridCol w:w="120"/>
        <w:gridCol w:w="92"/>
        <w:gridCol w:w="1503"/>
        <w:gridCol w:w="60"/>
        <w:gridCol w:w="120"/>
        <w:gridCol w:w="150"/>
        <w:gridCol w:w="650"/>
        <w:gridCol w:w="75"/>
      </w:tblGrid>
      <w:tr>
        <w:trPr/>
        <w:tc>
          <w:tcPr>
            <w:tcW w:w="3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Securityholder</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Common Stock</w:t>
            </w:r>
            <w:r>
              <w:rPr/>
              <w:br/>
            </w:r>
            <w:r>
              <w:rPr>
                <w:b/>
              </w:rPr>
              <w:t>Beneficially</w:t>
              <w:br/>
              <w:t>Owned</w:t>
              <w:br/>
              <w:t>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to be Sold in</w:t>
              <w:br/>
              <w:t>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Owned After</w:t>
              <w:br/>
              <w:t>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Aisling Capital V, LP (1)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564,625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564,625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ADAR1 Partners, LP (2)</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828,960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797,775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31,185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Aedan Lev Weinstein (3)</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93,307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93,307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Albert A. Holman III (4)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Philips (5)</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 Global Opportunities IX, LP (6)</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4,365,747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3,265,747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Global Funds World Healthscience Fund (7)</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1,547,964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1,547,964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BlackRock Health Sciences Opportunities Portfolio (8)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1,060,002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209,287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850,715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85"/>
        <w:gridCol w:w="120"/>
        <w:gridCol w:w="82"/>
        <w:gridCol w:w="1513"/>
        <w:gridCol w:w="60"/>
        <w:gridCol w:w="120"/>
        <w:gridCol w:w="82"/>
        <w:gridCol w:w="1513"/>
        <w:gridCol w:w="60"/>
        <w:gridCol w:w="120"/>
        <w:gridCol w:w="92"/>
        <w:gridCol w:w="1503"/>
        <w:gridCol w:w="60"/>
        <w:gridCol w:w="120"/>
        <w:gridCol w:w="126"/>
        <w:gridCol w:w="674"/>
        <w:gridCol w:w="75"/>
      </w:tblGrid>
      <w:tr>
        <w:trPr/>
        <w:tc>
          <w:tcPr>
            <w:tcW w:w="3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Securityholder</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Common Stock</w:t>
            </w:r>
            <w:r>
              <w:rPr/>
              <w:br/>
            </w:r>
            <w:r>
              <w:rPr>
                <w:b/>
              </w:rPr>
              <w:t>Beneficially</w:t>
              <w:br/>
              <w:t>Owned</w:t>
              <w:br/>
              <w:t>Prior to this</w:t>
              <w:br/>
              <w:t>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to be Sold in</w:t>
              <w:br/>
              <w:t>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Owned After</w:t>
              <w:br/>
              <w:t>this Offering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Health Sciences Trust (9)</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77,112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15,582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61,530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BP Fund LLC Series 1 (10)</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46,653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46,653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BridgeBio Pharma LLC (11)</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13,878,554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13,878,554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Casdin Private Growth Equity Fund II, L.P. (12)</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282,312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282,312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Citadel CEMF Investments Ltd. (13)</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2,528,762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1,399,512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1,129,250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Compass SAV II LLC (14)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27,059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27,059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Compass Offshore SAV II PCC Limited (15)</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17,261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17,261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Cormorant Private Healthcare Fund III, LP (16)</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2,187,536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760,496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1,427,040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Cormorant Private Healthcare Fund IV, LP (17)</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1,905,046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1,905,046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Cormorant Private Healthcare Fund V, LP (18)</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3,305,470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2,401,870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903,600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Cormorant Global Healthcare Master Fund, LP (19)</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5,952,356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5,882,996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69,360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Davos Equities LLC (20)</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93,307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93,307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Deerfield Management Company, L.P. (21)</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4,885,446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4,885,446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 Wallace (22)</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224,447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657,790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Eventide Healthcare Innovation Fund I LP (23)</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1,082,362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1,082,362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Frank McCormick (24)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142,933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150,367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GV 2023, L.P. (25)</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2,823,126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2,823,126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Helix Holdings II LLC (26)</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4,528,186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4,528,186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Integrated Core Strategies (US) LLC (27)</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1,148,141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466,535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681,606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Jeffery G. Murphy Revocable Living Trust DTD 12/27/1996 (28)</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93,307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93,307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P. Schmid (29)</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C. McKenna (30)</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Mekn Investment LLC (31)</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46,653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46,653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Napoli 2015 Quogue Holdings LLC (32)</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46,653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46,653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Naz II Holding LLC (33)</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93,307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93,307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Novo Holdings A/S (34)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1,866,141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1,866,141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Octagon Investments Master Fund LP (35)</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1,043,110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793,110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Omega Fund VII, L.P. (36)</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3,289,661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3,289,661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Paradigm BioCapital Advisors LP (37)</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219,831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219,831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Paradigm BioCapital International Fund Ltd. (38)</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1,646,310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1,646,310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Pedro Beltran (39)</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160,320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469,849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(40)</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82,889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85,924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Sio Partners LP (41)</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50,385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50,385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Sio Partners Offshore Ltd (42)</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35,923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35,923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Spearhead Insurance Solutions IDF, LLC - Series ADAR1 (43)</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136,880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135,295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StemPoint Capital LP (44)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186,614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186,614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TheRas Aggregator, LP (45)</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2,626,946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2,626,946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Wellington Biomedical Innovation Master Investors (Cayman) II L.P. (46)</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2,818,348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2,818,348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Wellington Biotechnology Long/Short Fund (Bermuda) L.P. (47)</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83,958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83,958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Wellington Biotechnology Long/Short Fund, L.P. (48)</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93,320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93,320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Yong Ben (49)</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123,378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469,849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* Indicates beneficial ownership less than 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564,625 shares of Common Stock held by Aisling Capital V, LP (“Aisling V”). The securities are held directly by Aisling Capital V, LP (“Aisling V”) and held indirectly by Aisling Capital Partners V, LP (“Aisling GP V”), as general partner of Aisling V, Aisling Capital Partners V LLC (“Aisling Partners V”), as general partner of Aisling GP V, and each of the individual managing members of Aisling Partners V. The individual managing members (collectively, the “Managers”) of Aisling Partners V are Dr. Andrew Schiff and Steve Elms. Aisling GP V, Aisling Partners V and the Managers share voting and dispositive power over the shares directly held by Aisling V. Each of Aisling GP V, Aisling Partners V and the Managers may be deemed to be the beneficial owner of the securities listed above only to the extent of its pecuniary interest therein and each of Aisling GP V, Aisling Partners V and the Managers disclaim beneficial ownership other than to the extent of each of its pecuniary interest in the shares of Common Stock held by Aisling V. The address for this entity is 489 5th Avenue, 10th Floor, New York, NY 10017.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828,960 shares of Common Stock held by ADAR1 Partners, LP of which 797,775 shares of Common Stock held by ADAR1 Partners, LP are being registered and offered pursuant to this registration statement. Daniel P. Schneeberger may be deemed to beneficially own the shares of Common Stock held by ADAR1 Partners, LP and disclaims beneficial ownership of the shares of Common Stock held by ADAR1 Partners LP. The address for this entity is 3503 Wild Cherry Drive, Building 9, Austin TX 78738.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93,307 shares of Common Stock held by Aedan Lev Weinstein. The address for this entity is 59 Calle Kings Ct #202, San Juan, PR 00911.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30,000 shares of Common Stock held by Albert A. Holman III. The address for this individual is c/o Cormorant Asset Management, LP,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(5)</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30,000 shares of Common Stock held by Andrew Philips. The address for this individual is c/o Cormorant Asset Management, LP,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4,365,747 shares of Common Stock held by BC Global Opportunities IX, LP of which 3,265,747 shares of Common Stock held by BC Global Opportunities IX, LP are being registered and offered pursuant to this registration statement. BC Capital Management Limited is the General Partner of BC Global Opportunities IX, LP. Tan Kuangming as the shareholder and director of BC Capital Management Limited may be deemed to beneficially own the shares of Common Stock held by BC Global Opportunities IX, LP. The address for this entity is Room 1202-07, 12 Floor, Nan Fung Tower, No. 88 Connaught Road Central, Central, Hong Kong.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(7)</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1,547,964 shares of Common Stock held by BlackRock Global Funds World Healthscience Fund. The registered holders of the referenced shares to be registered are the following funds and accounts under management by subsidiaries of BlackRock, Inc.: BlackRock Health Sciences Trust, BlackRock Health Sciences Opportunities Portfolio, BlackRock Global Funds World Healthsciences Fund, BlackRock Health Sciences Term Trust and Pacific Select Fund- Health Sciences Portfolio.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(8)</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1,060,002 shares of Common Stock held by BlackRock Health Sciences Opportunities Portfolio, of which 209,287 shares of Common Stock held by BlackRock Health Sciences Opportunities Portfolio are being registered and offered pursuant to this registration statement. The registered holders of the referenced shares to be registered are the following funds and accounts under management by subsidiaries of BlackRock, Inc.: BlackRock Health Sciences Trust, BlackRock Health Sciences Opportunities Portfolio, BlackRock Global Funds World Healthsciences Fund, BlackRock Health Sciences Term Trust and Pacific Select Fund- Health Sciences Portfolio. BlackRock, Inc. is the ultimate parent holding company of such subsidiaries. On behalf of such subsidiaries, the applicable portfolio managers, as managing directors (or in other capacities) of such entities, and/or the applicable investment committee members of such funds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77,112 shares of Common Stock held by BlackRock Health Sciences Trust, of which 15,582 shares of Common Stock held by BlackRock Health Sciences Trust are being registered and offered pursuant to this registration statement. The registered holders of the referenced shares to be registered are the following funds and accounts under management by subsidiaries of BlackRock, Inc.: BlackRock Health Sciences Trust, BlackRock Health Sciences Opportunities Portfolio and BlackRock Global Funds World Healthsciences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(10)</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46,653 shares of Common Stock held by BP Fund LLC Series 1. Mark Mashburn as the President of BO Fund LLC Series 1 may be deemed to beneficially own the shares of Common Stock held by BP Fund LLC Series 1. The address for this entity is PO Box 363866, San Juan, PR 00936.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13,805,126 shares of Common Stock to be held by BridgeBio Pharma LLC and 73,428 shares of Common Stock issuable upon the exercise of Options. Voting and investment power over the shares held by BridgeBio Pharma LLC is exercised by its parent entity, BridgeBio Pharma, Inc. The board of directors of BridgeBio Pharma, Inc. consists of Neil Kumar, Ph.D., Eric Aguiar, M.D., Jennifer E. Cook, Douglas A. Dachille, Ronald J. Daniels, Andrea J. Ellis, Fred Hassan, Charles Homcy, M.D., Andrew W. Lo, Ph.D., Frank P. McCormick, Ph.D., F.R.S., D.Sc., James C. Momtazee, Ali J. Satvat, Randal W. Scott, Ph.D., and Hannah A. Valantine, M.D. None of the members of the board of directors of BridgeBio Pharma, Inc. or BridgeBio Pharma LLC has individual voting or investment power with respect to such shares. The address for BridgeBio Pharma LLC and the individuals listed above is c/o BridgeBio Pharma, Inc., 3160 Porter Drive, Suite 250, Palo Alto, California 94304.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(12)</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282,312 shares of Common Stock held by Casdin Private Growth Equity Fund II, L.P. Casdin Capital, LLC serves as the investment manager of Casdin Private Growth Equity Fund II, L.P. The general partner of Casdin Private Growth Equity Fund II, L.P. is Casdin Private Growth Equity Fund II GP, LLC. Eli Casdin is the managing member of both Casdin Capital, LLC and Casdin Private Growth Equity Fund II GP, LLC and may be deemed to have voting and dispositive power over the shares held by the fund. The address of Casdin Capital, LLC, as the investment manager, is 1350 Avenue of the Americas, Suite 2600, New York, NY 10019.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(13)</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2,528,762 shares of Common Stock held by Citadel CEMF Investments Ltd. of which 1,399,512 shares of Common Stock held by Citadel CEMF Investments Ltd. are being registered pursuant to this registration statement. 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of Common Stock covered by this registration statement. The foregoing should not be construed in and of itself as an admission by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(14)</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27,059 shares of Common Stock held by Compass SAV II LLC. Sio Capital Management, LLC is the investment manager for Compass SAV II LLC and Michael Castor is the managing member of such investment manager. Mr. Caster may be deemed the beneficial owner of the shares of Common Stock held by Compass SAV II LLC. Mr. Castor disclaims beneficial ownership of the shares of Common Stock held by Compass SAV II LLC, except to the extent of any pecuniary interest therein. The address for this entity is c/o Sio Capital Management, LLC, 600 Third Avenue, 2nd Floor, New York, NY 10016.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(15)</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17,261 shares of Common Stock held by Compass Offshore SAV II PCC Limited. Sio Capital Management, LLC is the investment manager for Compass Offshore SAV II PCC Limited and Michael Castor is the managing member of such investment manager. Mr. Caster may be deemed the beneficial owner of the shares of Common Stock held by Compass Offshore SAV II PCC Limited. Mr. Castor disclaims beneficial ownership of the shares of Common Stock held by Compass Offshore SAV II PCC Limited, except to the extent of any pecuniary interest therein. The address for this entity is c/o Sio Capital Management, LLC, 600 Third Avenue, 2nd Floor, New York, NY 10016.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(16)</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2,187,536 shares of Common Stock owned by Cormorant Private Healthcare Fund III, LP (“Fund III”) of which 760,496 shares of Common Stock held by Fund III are being registered and offered pursuant to this registration statement. Cormorant Asset Management, LP serves as the investment manager to Fund III and Cormorant Private Healthcare GP III, LLC (“GP III”) is the general partner of Fund III; Bihua Chen serves as the managing member of GP III and as the general partner of Cormorant Asset Management, LP. Accordingly, Ms. Chen has voting and investment discretion with respect to the shares held by Fund III. Ms. Chen disclaims any beneficial ownership of the securities held by Fund III other than to the extent of any pecuniary interest she may have therein, directly or indirectly. The address for Fund III, GP III and Cormorant Asset Management, LP is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(17)</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1,905,046 shares of Common Stock owned by Cormorant Private Healthcare Fund IV, LP (“Fund IV”). Cormorant Asset Management, LP serves as the investment manager to Fund IV and Cormorant Private Healthcare GP IV, LLC (“GP IV”) is the general partner of Fund IV. Bihua Chen serves as the managing member of GP IV and as the general partner of Cormorant Asset Management, LP. Accordingly, Ms. Chen has voting and investment discretion with respect to the shares held by Fund IV. Ms. Chen disclaims any beneficial ownership of the securities held by Fund IV other than to the extent of any pecuniary interest she may have therein, directly or indirectly. The address for Fund IV, GP IV and Cormorant Asset Management, LP is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(18)</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3,305,470 shares of Common Stock owned by Cormorant Private Healthcare Fund V, LP (“Fund V”) of which 2,401,870 shares of Common Stock held by Fund V are being registered and offered pursuant to this registration statement. Cormorant Asset Management, LP serves as the investment manager Fund V and Cormorant Private Healthcare GP V, LLC (“GP V”) is the general partner of Fund V. Bihua Chen serves as the managing member of GP V and as the general partner of Cormorant Asset Management, LP. Accordingly, Ms. Chen has voting and investment discretion with respect to the shares held by Fund V. Ms. Chen disclaims any beneficial ownership of the securities held by Fund V other than to the extent of any pecuniary interest she may have therein, directly or indirectly. The address for Fund V, GP V and Cormorant Asset Management, LP is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(19)</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5,952,356 shares of Common Stock owned by Cormorant Global Healthcare Master Fund, LP (“Master Fund”) of which 5,882,996 shares of Common Stock held by Master Fund are being registered and offered pursuant to this registration statement. Cormorant Asset Management, LP serves as the investment manager to Master Fund and Cormorant Global Healthcare GP, LLC (“Global GP”) is the general partner of the Master Fund. Bihua Chen serves as the managing member of Global GP and as the general partner of Cormorant Asset Management, LP. Accordingly, Ms. Chen has voting and investment discretion with respect to the shares held by Master Fund. Ms. Chen disclaims any beneficial ownership of the securities held by Master Fund other than to the extent of any pecuniary interest she may have therein, directly or indirectly. The address for Master Fund, Global Fund and Cormorant Asset Management, LP is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(20)</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93,307 shares of Common Stock held by Davos Equities LLC. David P. Nolan is the manager of Davos Equities LLC and Mr. Nolan may be deemed to beneficially own the shares of Common Stock held by Davos Equities LLC. The address of this entity is 200 Dorado Beach Dr #3722, Dorado, PR 00646.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(21)</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Common Stock beneficially owned consist of (A) 2,442,723 shares of Common Stock held by Deerfield Partners, L.P. and (B) 2,442,723 shares of Common Stock held by Deerfield Private Design Fund V, L.P. Deerfield Mgmt V, L.P. is the general partner of, and has shared voting power and shared dispositive power over the shares of Common Stock held by Deerfield Private Design Fund V, L.P. Deerfield Mgmt, L.P. is the general partner of, and has shared voting power and shared dispositive power over the shares of Common Stock held by Deerfield Partners, L.P. Deerfield Management Company, L.P. is the investment manager of both Deerfield Private Design Fund V, L.P. and Deerfield Partners, L.P. James E. Flynn is the sole manager of the general partner of each of Deerfield Mgmt V, L.P., Deerfield Mgmt, L.P. and Deerfield Management Company, L.P. Each of Deerfield Management Company, L.P. and Mr. Flynn have shared voting power and shared dispositive power over the shares of Common Stock held by Deerfield Private Design Fund V, L.P. and Deerfield Partners, L.P. The address for Deerfield Private Design Fund V, L.P. and Deerfield Partners, L.P. is c/o Deerfield Management Company, L.P., 345 Park Avenue South, 12th Floor, New York, New York 10010.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(22)</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224,447 shares of Common Stock underlying stock options exercisable within 60 days of August 29, 2025 which are beneficially owned by Eli Wallace as of such date, which does not include 20,822 shares of Common Stock underlying stock options that will vest upon the filing of the registration statement on Form S-8. 657,790 shares of Common Stock issuable upon the exercise of the Options held by Eli Wallace are being registered and offered pursuant to this registration statement.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(23)</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1,082,362 shares of Common Stock held by Eventide Healthcare Innovation Fund I LP. Finny Kuruvilla and Robin John may be deemed to beneficially own the shares of Common Stock held by Eventide Healthcare Innovation Fund I LP. The address of this entity is 1 International Place, Suite 4210, Boston, MA 02110.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(24)</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142,933 shares of Common Stock underlying stock options exercisable within 60 days of August 29, 2025 which are beneficially owned by Frank McCormick as of such date, which does not include 3,795 shares of Common Stock underlying stock options that will vest upon the filing of the registration statement on Form S-8. 150,367 shares of Common Stock issuable upon the exercise of the Options held by Frank McCormick are being registered and offered pursuant to this registration statement.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(25)</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2,823,126 shares of Common Stock held by GV 2023, L.P. GV 2023 GP, L.P. (the General Partner of GV 2023, L.P.), GV 2023 GP, L.L.C. (the General Partner of GV 2023 GP, L.P.), Alphabet Holdings LLC (the sole member of GV 2023 GP, L.L.C.), XXVI Holdings Inc. (the sole member of Alphabet Holdings LLC), and Alphabet Inc. (the controlling stockholder of XXVI Holdings Inc.) may each be deemed to share power to vote or dispose of the shares held directly by GV 2023, L.P. The principal business address for each of GV 2023, L.P., GV 2023 GP, L.P. GV 2023 GP, L.L.C., Alphabet Holdings LLC, XXVI Holdings Inc., and Alphabet Inc. is 1600 Amphitheatre Parkway, Mountain View, CA 94043. </w:t>
            </w:r>
          </w:p>
        </w:tc>
      </w:tr>
    </w:tbl>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pPr>
            <w:r>
              <w:rPr/>
              <w:t>(26)</w:t>
            </w:r>
          </w:p>
        </w:tc>
        <w:tc>
          <w:tcPr>
            <w:tcW w:w="98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4,528,186 shares of Common Stock held by the Helix Holdings II (“Sponsor”). Bihua Chen is the manager of Sponsor and has voting and investment discretion with respect to the shares held of record by Sponsor. Ms. Chen disclaims any beneficial ownership of the securities held by the Sponsor other than to the extent of any pecuniary interest she may have therein, directly or indirectly. The address for Sponsor is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1,148,141 shares of Common Stock held by Integrated Core Strategies (US) LLC of which 466,535 shares of Common Stock held by Integrated Core Strategies (US) LLC are being registered and offered pursuant to this registration statement. The shares of Common Stock listed above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Integrated Core Strategies (US) LLC. The address for Integrated Core Strategies (US) LLC is c/o Millenium Management LLC, 399 Park Avenue, New York, NY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(28)</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93,307 shares of Common Stock held by Jeffery G. Murphy Revocable Living Trust DTD 12/27/1996. Jeffrey G. Murphy may be deemed to beneficially own the shares of Common Stock and has the power to vote and dispose the shares of Common Stock held by Jeffrey G. Murphy Revocable Living Trust DTD 12/27/1996. The address for this entity is 6085 Timberidge Drive, Parkville, MO 64152. </w:t>
            </w:r>
          </w:p>
        </w:tc>
      </w:tr>
    </w:tbl>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pPr>
            <w:r>
              <w:rPr/>
              <w:t>(29)</w:t>
            </w:r>
          </w:p>
        </w:tc>
        <w:tc>
          <w:tcPr>
            <w:tcW w:w="98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30,000 shares of Common Stock held by John P. Schmid. The address for this individual is c/o Cormorant Asset Management, LP,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pPr>
            <w:r>
              <w:rPr/>
              <w:t>(30)</w:t>
            </w:r>
          </w:p>
        </w:tc>
        <w:tc>
          <w:tcPr>
            <w:tcW w:w="98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30,000 shares of Common Stock held by Mark C. McKenna. The address for this individual is c/o Cormorant Asset Management, LP, 200 Clarendon Street, 52nd Floor, Boston, MA 02116. </w:t>
            </w:r>
          </w:p>
        </w:tc>
      </w:tr>
    </w:tbl>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(31)</w:t>
            </w:r>
          </w:p>
        </w:tc>
        <w:tc>
          <w:tcPr>
            <w:tcW w:w="98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46,653 shares of Common Stock held by Mekn Investment LLC. Marie Kaiser Napoli may be deemed to beneficially own the shares of Common Stock held by Mekn Investment LLC. The address for this entity is 200 Dorado Beach Dr #3722, Dorado, PR 00646.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(32)</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46,653 shares of Common Stock held by Napoli 2015 Quogue Holdings LLC. Marie Kaiser Napoli and Paul Napoli may be deemed to beneficially own the shares of Common Stock held by Napoli 2015 Quogue Holdings LLC. The address for this entity is 200 Dorado Beach Dr #3812, Dorado, PR 00646. </w:t>
            </w:r>
          </w:p>
        </w:tc>
      </w:tr>
    </w:tbl>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(33)</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93,307 shares of Common Stock held by Naz II Holding LLC. The address for this entity is 53 Palmeras St, Suite 601, San Juan, PR 00911.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(34)</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1,866,141 shares of Common Stock held by Novo Holdings A/S (“Novo”). Novo has the sole power to vote and dispose these shares, and no person or entity is deemed to have any beneficial ownership or reportable pecuniary interest in the shares held by Novo. All decisions are made by a committee of three or more, all of whom are employees of Novo Holdings or its affiliates. The address for Novo is Tuborg Havnevej 19, DK 2900, Hellerup, Denmark.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(35)</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1,043,110 shares of Common Stock held by Octagon Investments Master Fund LP of which 793,110 shares of Common Stock held by Octagon Investments Master Fund LP are being registered and offered pursuant to this registration statement. Octagon Capital Advisors LP is the general partner of Octagon Investments Master Fund LP. Ting Jia, as the managing member of Octagon Capital Advisors LP, may be deemed to beneficially own the shares of Common Stock held by Octagon Investments Master Fund LP. The address for this entity is 654 Madison Avenue, 21st Floor, New York, NY 10065.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(36)</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3,289,661 shares of Common Stock held by Omega Fund VII, L.P. (“Omega Fund”). Omega Fund VII GP Manager, Ltd. (“Omega Ltd”) is the sole general partner of Omega Fund VII GP, L.P. (“Omega GP”), which is the sole general partner of Omega Fund; and each of Omega Ltd. and Omega GP may be deemed to own beneficially the shares held by Omega Fund. Claudio Nessi, Francesco Draetta and Otello Stampacchia are the directors of Omega Ltd. and, as a result, may be deemed to share voting and investment power over the shares held directly by Omega Fund. Each of Dr. Stampacchia, Mr. Draetta, Dr. Nessi, Omega Ltd. and Omega GP disclaim beneficial ownership of the shares held by Omega Fund except to the extent of their pecuniary interest therein. The business address of the Omega Fund and its affiliates is 888 Boylston Street, Suite 1111, Boston, MA 02199.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(37)</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219,831 shares of Common Stock held by Paradigm BioCapital Advisors LP, as discretionary investment manager on behalf of a separate account client solely with respect to the assets for which Paradigm BioCapital Advisors LP acts as its investment manager. The shares may be deemed to be indirectly beneficially owned by each of Paradigm BioCapital Advisors LP, Paradigm BioCapital Advisors GP LLC, and Senai Asefaw, M.D. Paradigm BioCapital Advisors GP LLC is the general partner of Paradigm BioCapital Advisors LP and Senai Asefaw, M.D. is the managing member of the Paradigm BioCapital Advisors GP LLC. The shares are managed by Paradigm BioCapital Advisors LP, with full investment and voting discretion, on behalf of one or more separately managed accounts managed by Paradigm BioCapital Advisors LP, or collectively, the Account. The foregoing statements shall not be construed as an admission that any of Paradigm BioCapital Advisors LP, Paradigm BioCapital Advisors GP LLC, Senai Asefaw, M.D. and the Account is a beneficial owner of the shares. The address for Paradigm BioCapital Advisors LP is 767 Third Avenue, 17th Floor, New York, NY 10017.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(38)</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1,646,310 shares of Common Stock held by Paradigm BioCapital International Fund Ltd. The shares may be deemed to be indirectly beneficially owned by each of Paradigm BioCapital Advisors LP, Paradigm BioCapital Advisors GP LLC, and Senai Asefaw, M.D. Paradigm BioCapital Advisors GP LLC is the general partner of Paradigm BioCapital Advisors LP and Senai Asefaw, M.D. is the managing member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of the Paradigm BioCapital Advisors GP LLC. Paradigm BioCapital Advisors LP is the investment manager of Paradigm BioCapital International Fund Ltd. The foregoing statements shall not be construed as an admission that any of Paradigm BioCapital Advisors LP, Paradigm BioCapital Advisors GP LLC and Senai Asefaw, M.D. is a beneficial owner of the shares. The address for Paradigm BioCapital Internal Fund Ltd. is c/o Walkers Corporate Limited, 190 Elgin Avenue, George Town, Grand Cayman, KY1-9008, Cayman Islands.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(39)</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160,320 shares of Common Stock underlying stock options exercisable within 60 days of August 29, 2025 which are beneficially owned by Pedro Beltran as of such date, which does not include 14,882 shares of Common Stock underlying stock options that will vest upon the filing of the registration statement on Form S-8. 469,849 shares of Common Stock issuable upon the exercise of the Options held by Pedro Beltran are being registered and offered pursuant to this registration statement.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(40)</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82,889 shares of Common Stock underlying stock options exercisable within 60 days of August 29, 2025 which are beneficially owned by Praveen Tipirneni as of such date, which does not include 2,178 shares of Common Stock underlying stock options that will vest upon the filing of the registration statement on Form S-8. 85,924 shares of Common Stock issuable upon the exercise of the Options held by Praveen Tipirneni are being registered and offered pursuant to this registration statement.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(41)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50,385 shares of Common Stock held by Sio Partners LP. Sio Capital Management, LLC is the investment manager for Sio Partners LP and Michael Castor is the managing member of such investment manager. Mr. Caster may be deemed the beneficial owner of the shares of Common Stock held by Sio Partners LP. Mr. Castor disclaims beneficial ownership of the shares of Common Stock held by Sio Partners LP, except to the extent of any pecuniary interest therein. The address for this entity is c/o Sio Capital Management, LLC, 600 Third Avenue, 2nd Floor, New York, NY 10016.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(42)</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35,923 shares of Common Stock held by Sio Partners Offshore Ltd. Sio Capital Management, LLC is the investment manager for Sio Partners Offshore Ltd and Michael Castor is the managing member of such investment manager. Mr. Caster may be deemed the beneficial owner of the shares of Common Stock held by Sio Partners Offshore Ltd. Mr. Castor disclaims beneficial ownership of the shares of Common Stock held by Sio Partners Offshore Ltd, except to the extent of any pecuniary interest therein. The address for this entity is c/o Sio Capital Management, LLC, 600 Third Avenue, 2nd Floor, New York, NY 10016.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(43)</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136,880 shares of Common Stock held by Spearhead Insurance Solutions IDF, LLC - Series ADAR1 of which 102,637 shares of Common Stock held by Spearhead Insurance Solutions IDF, LLC - Series ADAR1 are being registered and offered pursuant to this registration statement. Kenneth E. Foley may be deemed to beneficially own the shares of Common Stock held by Spearhead Insurance Solutions IDF, LLC - Series ADAR1 and disclaims beneficial ownership of the shares of Common Stock held by Spearhead Insurance Solutions IDF, LLC - Series ADAR1. The address for this entity is 3828 Kennett Pike, Ste 202, Greenville, DE 19807. </w:t>
            </w:r>
          </w:p>
        </w:tc>
      </w:tr>
    </w:tbl>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(44)</w:t>
            </w:r>
          </w:p>
        </w:tc>
        <w:tc>
          <w:tcPr>
            <w:tcW w:w="98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186,614 shares of Common Stock held by StemPoint Capital LP. Michelle Ross may be deemed to beneficially own the shares of Common Stock held by StemPoint Capital LP. The address for this entity is 520 Madison Avenue, 19th Floor, New York, NY 10022.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(45)</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2,626,946 shares of Common Stock held by TheRas Aggregator, LP. The voting and dispositive power with respect to the shares of Common Stock held by TheRas Aggregator, LP are made collectively by the managers of the general partner, James Momtazee, Laura Furmanski, Neel Varshney and James P. Boylan. The address for this entity and the managers is 106 West 56th Street, 8th Floor, New York, NY 10019.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(46)</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2,818,348 shares of Common Stock held by Wellington Biomedical Innovation Master Investors (Cayman) II L.P. Wellington Management Company LLP (“WMC”) has the power to vote and dispose the shares of Common Stock pursuant to WMC’s investment management relationship with Wellington Biomedical Innovation Master Investors (Cayman) II L.P. WMC is a subsidiary of Wellington Management Group LLP (“WMG”). WMG is a Massachusetts limited liability partnership, privately held by 172 partners (as of July 1, 2020). There are no external entities with any ownership interest in the firm. Individual percentages of ownership are confidential; however, no single partner owns or has right to vote more than 5% of WMG’s capital. The address for Wellington Biomedical Innovation Master Investors (Cayman) II L.P. is c/o Wellington Management Company LLP, 280 Congress Street,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(47)</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127,647 shares of Common Stock held by Wellington Biotechnology Long/Short Fund (Bermuda) L.P. of which 83,958 shares of Common Stock held by Wellington Biotechnology Long/Short Fund (Bermuda) L.P. are being registered pursuant to this registration statement. Wellington Management Company LLP (“WMC”) has the power to vote and dispose the shares of Common Stock pursuant to WMC’s investment management relationship with Wellington Biotechnology Long/Short Fund (Bermuda) L.P. WMC is a subsidiary of Wellington Management Group LLP (“WMG”). WMG is a Massachusetts limited liability partnership, privately held by 172 partners (as of July 1, 2020). There are no external entities with any ownership interest in the firm. Individual percentages of ownership are confidential; however, no single partner owns or has right to vote more than 5% of WMG’s capital. The address for Wellington Biotechnology Long/Short Fund (Bermuda) L.P. is c/o Wellington Management Company LLP, 280 Congress Street, Boston MA 02210.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(48)</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141,927 shares of Common Stock held by Wellington Biotechnology Long/Short Fund, L.P. of which 93,320 shares of Common Stock held by Wellington Biotechnology Long/Short Fund, L.P. are being registered pursuant to this registration statement. Wellington Management Company LLP (“WMC”) has the power to vote and dispose the shares of Common Stock pursuant to WMC’s investment management relationship with Wellington Biotechnology Long/Short Fund L.P. WMC is a subsidiary of Wellington Management Group LLP (“WMG”). WMG is a Massachusetts limited liability partnership, privately held by 172 partners (as of July 1, 2020). There are no external entities with any ownership interest in the firm. Individual percentages of ownership are confidential; however, no single partner owns or has right to vote more than 5% of WMG’s capital. The address for Wellington Biotechnology Long/Short Fund L.P. is c/o Wellington Management Company LLP, 280 Congress Street, Boston MA 02210.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(49)</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123,378 shares of Common Stock underlying stock options exercisable within 60 days of August 29, 2025 which are beneficially owned by Yong Ben as of such date, which does not include 14,882 shares of Common Stock underlying stock options that will vest upon the filing of the registration statement on Form S-8. 469,849 shares of Common Stock issuable upon the exercise of the Options held by Yong Ben are being registered and offered pursuant to this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128473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by the Selling Securityholders pursuant to this prospectus, except with respect to any amounts received by us upon exercise of the Options to the extent the Options are exercised for cash.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any applicable registration rights agreement, the Selling Securityholders may use any one or more of the following methods when selling the securities offered by this prospectus: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NYSE;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including through a specific bidding, auction or other process or in privately negotiated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securities by any Selling Securityholder to its partners, members or securityholders;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that is an entity may elect to make an in-kind distribution of securities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securities pursuant to a distribution pursuant to the registration statement of which this prospectus forms a part. To the extent that such members, partners, stockholders or other equityholders is an affiliate of ours (or to the extent otherwise required by law), we may file a prospectus supplement in order to permit such members, partners, stockholders or other equityholders to use the prospectus to resell the securities acquired in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specific securities to be offered and sold;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purchase prices and public offering prices, the proceeds to be received from the sale, if any, and other material terms of the offering;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securityholders.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“BBOT”.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of any offering made under this prospectus a member of FINRA participating in the offering has a “conflict of interest” as defined in FINRA Rule 5121 (“Rule 5121”), that offering will be conducted in accordance with the relevant provisions of Rule 5121.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broker-dealers and agents may engage in transactions with us or the Selling Securityholders, or perform services for us or the Selling Securityholders,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128473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securities offered by this prospectus will be passed upon by Goodwin Procter LLP, San Francisco, California. </w:t>
      </w:r>
    </w:p>
    <w:p>
      <w:pPr>
        <w:pStyle w:val="TextBody"/>
        <w:bidi w:val="0"/>
        <w:spacing w:before="480" w:after="0"/>
        <w:jc w:val="center"/>
        <w:rPr>
          <w:rFonts w:ascii="Times New Roman" w:hAnsi="Times New Roman"/>
          <w:b/>
          <w:sz w:val="20"/>
        </w:rPr>
      </w:pPr>
      <w:bookmarkStart w:id="15" w:name="rom128473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BridgeBio Oncology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6" w:name="rom128473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S-1, including exhibits, under the Securities Act, with respect to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http://www.bbotx.com.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 </w:t>
      </w:r>
    </w:p>
    <w:p>
      <w:pPr>
        <w:pStyle w:val="TextBody"/>
        <w:bidi w:val="0"/>
        <w:spacing w:before="480" w:after="0"/>
        <w:jc w:val="center"/>
        <w:rPr>
          <w:rFonts w:ascii="Times New Roman" w:hAnsi="Times New Roman"/>
          <w:b/>
          <w:sz w:val="20"/>
        </w:rPr>
      </w:pPr>
      <w:bookmarkStart w:id="17" w:name="rom128473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 </w:t>
      </w:r>
    </w:p>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pPr>
            <w:r>
              <w:rPr>
                <w:rFonts w:ascii="Times New Roman" w:hAnsi="Times New Roman"/>
                <w:sz w:val="20"/>
              </w:rPr>
              <w:t xml:space="preserve">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Quarterly Reports on Form 10-Q for the quarter ended </w:t>
            </w:r>
            <w:hyperlink r:id="rId6">
              <w:r>
                <w:rPr>
                  <w:rStyle w:val="InternetLink"/>
                  <w:rFonts w:ascii="Times New Roman" w:hAnsi="Times New Roman"/>
                  <w:sz w:val="20"/>
                </w:rPr>
                <w:t>March 31, 2026</w:t>
              </w:r>
            </w:hyperlink>
            <w:r>
              <w:rPr>
                <w:rFonts w:ascii="Times New Roman" w:hAnsi="Times New Roman"/>
                <w:sz w:val="20"/>
              </w:rPr>
              <w:t xml:space="preserve">, filed with the SEC on May 12, 2026 and for the quarter ended </w:t>
            </w:r>
            <w:hyperlink r:id="rId7">
              <w:r>
                <w:rPr>
                  <w:rStyle w:val="InternetLink"/>
                  <w:rFonts w:ascii="Times New Roman" w:hAnsi="Times New Roman"/>
                  <w:sz w:val="20"/>
                </w:rPr>
                <w:t>June 30, 2026</w:t>
              </w:r>
            </w:hyperlink>
            <w:r>
              <w:rPr>
                <w:rFonts w:ascii="Times New Roman" w:hAnsi="Times New Roman"/>
                <w:sz w:val="20"/>
              </w:rPr>
              <w:t xml:space="preserve">, filed with the SEC on August 11,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Current Reports on Form 8-K filed with the SEC on </w:t>
            </w:r>
            <w:hyperlink r:id="rId8">
              <w:r>
                <w:rPr>
                  <w:rStyle w:val="InternetLink"/>
                  <w:rFonts w:ascii="Times New Roman" w:hAnsi="Times New Roman"/>
                  <w:sz w:val="20"/>
                </w:rPr>
                <w:t>January 7, 2026</w:t>
              </w:r>
            </w:hyperlink>
            <w:r>
              <w:rPr>
                <w:rFonts w:ascii="Times New Roman" w:hAnsi="Times New Roman"/>
                <w:sz w:val="20"/>
              </w:rPr>
              <w:t xml:space="preserve">, </w:t>
            </w:r>
            <w:hyperlink r:id="rId9">
              <w:r>
                <w:rPr>
                  <w:rStyle w:val="InternetLink"/>
                  <w:rFonts w:ascii="Times New Roman" w:hAnsi="Times New Roman"/>
                  <w:sz w:val="20"/>
                </w:rPr>
                <w:t>March 26, 2026</w:t>
              </w:r>
            </w:hyperlink>
            <w:r>
              <w:rPr>
                <w:rFonts w:ascii="Times New Roman" w:hAnsi="Times New Roman"/>
                <w:sz w:val="20"/>
              </w:rPr>
              <w:t xml:space="preserve">, </w:t>
            </w:r>
            <w:hyperlink r:id="rId10">
              <w:r>
                <w:rPr>
                  <w:rStyle w:val="InternetLink"/>
                  <w:rFonts w:ascii="Times New Roman" w:hAnsi="Times New Roman"/>
                  <w:sz w:val="20"/>
                </w:rPr>
                <w:t>April 23, 2026</w:t>
              </w:r>
            </w:hyperlink>
            <w:r>
              <w:rPr>
                <w:rFonts w:ascii="Times New Roman" w:hAnsi="Times New Roman"/>
                <w:sz w:val="20"/>
              </w:rPr>
              <w:t xml:space="preserve">, </w:t>
            </w:r>
            <w:hyperlink r:id="rId11">
              <w:r>
                <w:rPr>
                  <w:rStyle w:val="InternetLink"/>
                  <w:rFonts w:ascii="Times New Roman" w:hAnsi="Times New Roman"/>
                  <w:sz w:val="20"/>
                </w:rPr>
                <w:t>April 29, 2026</w:t>
              </w:r>
            </w:hyperlink>
            <w:r>
              <w:rPr>
                <w:rFonts w:ascii="Times New Roman" w:hAnsi="Times New Roman"/>
                <w:sz w:val="20"/>
              </w:rPr>
              <w:t xml:space="preserve">, and </w:t>
            </w:r>
            <w:hyperlink r:id="rId12">
              <w:r>
                <w:rPr>
                  <w:rStyle w:val="InternetLink"/>
                  <w:rFonts w:ascii="Times New Roman" w:hAnsi="Times New Roman"/>
                  <w:sz w:val="20"/>
                </w:rPr>
                <w:t>June 22, 2026</w:t>
              </w:r>
            </w:hyperlink>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The description of the registrant’s Common Stock contained in (i) the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 No. 001-41955), filed by the registrant with the SEC under Section 12(b) of the Exchange Act on February 8, 2024, including any amendments or reports filed for the purpose of updating such description and (ii) </w:t>
            </w:r>
            <w:hyperlink r:id="rId14">
              <w:r>
                <w:rPr>
                  <w:rStyle w:val="InternetLink"/>
                  <w:rFonts w:ascii="Times New Roman" w:hAnsi="Times New Roman"/>
                  <w:sz w:val="20"/>
                </w:rPr>
                <w:t>Exhibit 4.2</w:t>
              </w:r>
            </w:hyperlink>
            <w:r>
              <w:rPr>
                <w:rFonts w:ascii="Times New Roman" w:hAnsi="Times New Roman"/>
                <w:sz w:val="20"/>
              </w:rPr>
              <w:t xml:space="preserve">—Description of Securities to our Annual Report on Form 10-K, as filed with the SEC on March 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with the SEC pursuant to Sections 13(a), 13(c), 14 or 15(d) of the Exchange Act, except as to any portion of any report or documents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and will be automatically updated and, to the extent described above, supersede information contained or incorporated by reference in this prospectus and previously filed documents that are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prospectus shall be deemed to incorporate information furnished but not filed with the SEC pursuant to Item 2.02, 7.01 or 9.01 of Form 8-K. Upon written or oral request, we will provide without charge to each person, including any beneficial owner, to whom a copy of the prospectus is delivered a copy of any or all of the reports or documents incorporated by reference herein (other than exhibits to such documents, unless such exhibits are specifically incorporated by reference herein). You may request a copy of these filings, at no cost,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256 E. Grand Avenue, Suite 104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(650) 405-4770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Investors@BBOTx.com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8"/>
        </w:rPr>
      </w:pPr>
      <w:r>
        <w:rPr>
          <w:rFonts w:ascii="Times New Roman" w:hAnsi="Times New Roman"/>
          <w:b/>
          <w:sz w:val="48"/>
        </w:rPr>
        <w:t xml:space="preserve">BridgeBio Oncology Therapeutics, Inc. </w:t>
      </w:r>
    </w:p>
    <w:p>
      <w:pPr>
        <w:pStyle w:val="TextBody"/>
        <w:bidi w:val="0"/>
        <w:spacing w:before="240" w:after="0"/>
        <w:jc w:val="center"/>
        <w:rPr>
          <w:rFonts w:ascii="Times New Roman" w:hAnsi="Times New Roman"/>
          <w:b/>
          <w:sz w:val="28"/>
        </w:rPr>
      </w:pPr>
      <w:r>
        <w:rPr>
          <w:rFonts w:ascii="Times New Roman" w:hAnsi="Times New Roman"/>
          <w:b/>
          <w:sz w:val="28"/>
        </w:rPr>
        <w:t xml:space="preserve">63,054,549 Shares of Common Stock by the Selling Securityholders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36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1025"/>
        <w:gridCol w:w="5120"/>
      </w:tblGrid>
      <w:tr>
        <w:trPr/>
        <w:tc>
          <w:tcPr>
            <w:tcW w:w="1025" w:type="dxa"/>
            <w:tcBorders/>
            <w:vAlign w:val="center"/>
          </w:tcPr>
          <w:p>
            <w:pPr>
              <w:pStyle w:val="TableContents"/>
              <w:bidi w:val="0"/>
              <w:spacing w:before="0" w:after="283"/>
              <w:jc w:val="left"/>
              <w:rPr>
                <w:b/>
              </w:rPr>
            </w:pPr>
            <w:r>
              <w:rPr>
                <w:b/>
              </w:rPr>
              <w:t>ITEM 13.</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except with respect to amounts received by us, if any, upon the exercise of the Options to the extent such Options are exercised for cash.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All amounts are estimates, except for the SEC registration fee. </w:t>
      </w:r>
    </w:p>
    <w:p>
      <w:pPr>
        <w:pStyle w:val="TextBody"/>
        <w:bidi w:val="0"/>
        <w:spacing w:before="0" w:after="0"/>
        <w:jc w:val="left"/>
        <w:rPr/>
      </w:pPr>
      <w:r>
        <w:rPr/>
        <w:t> </w:t>
      </w:r>
    </w:p>
    <w:tbl>
      <w:tblPr>
        <w:tblW w:w="4280" w:type="dxa"/>
        <w:jc w:val="left"/>
        <w:tblInd w:w="0" w:type="dxa"/>
        <w:tblLayout w:type="fixed"/>
        <w:tblCellMar>
          <w:top w:w="0" w:type="dxa"/>
          <w:left w:w="0" w:type="dxa"/>
          <w:bottom w:w="0" w:type="dxa"/>
          <w:right w:w="0" w:type="dxa"/>
        </w:tblCellMar>
      </w:tblPr>
      <w:tblGrid>
        <w:gridCol w:w="2705"/>
        <w:gridCol w:w="120"/>
        <w:gridCol w:w="140"/>
        <w:gridCol w:w="980"/>
        <w:gridCol w:w="33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3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89,778.96</w:t>
            </w:r>
          </w:p>
        </w:tc>
        <w:tc>
          <w:tcPr>
            <w:tcW w:w="3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paid.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fees will be determined based on the securities offered and the number of issuances and accordingly cannot be defined at this time.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025"/>
        <w:gridCol w:w="4925"/>
      </w:tblGrid>
      <w:tr>
        <w:trPr/>
        <w:tc>
          <w:tcPr>
            <w:tcW w:w="1025" w:type="dxa"/>
            <w:tcBorders/>
            <w:vAlign w:val="center"/>
          </w:tcPr>
          <w:p>
            <w:pPr>
              <w:pStyle w:val="TableContents"/>
              <w:bidi w:val="0"/>
              <w:spacing w:before="0" w:after="283"/>
              <w:jc w:val="left"/>
              <w:rPr>
                <w:b/>
              </w:rPr>
            </w:pPr>
            <w:r>
              <w:rPr>
                <w:b/>
              </w:rPr>
              <w:t>ITEM 14.</w:t>
            </w:r>
          </w:p>
        </w:tc>
        <w:tc>
          <w:tcPr>
            <w:tcW w:w="49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240" w:after="0"/>
        <w:jc w:val="left"/>
        <w:rPr>
          <w:rFonts w:ascii="Times New Roman" w:hAnsi="Times New Roman"/>
          <w:sz w:val="20"/>
        </w:rPr>
      </w:pPr>
      <w:r>
        <w:rPr>
          <w:rFonts w:ascii="Times New Roman" w:hAnsi="Times New Roman"/>
          <w:sz w:val="20"/>
        </w:rPr>
        <w:t xml:space="preserve">Our Charter, which became effective upon completion of the Business Combination, provides that no director or officer of ours shall be personally liable to us or our stockholders for monetary damages for any breach of fiduciary duty as a director or officer. In addition, our Charter provides that if the DGCL is amended to authorize the further elimination or limitation of the liability of directors or officers, then the liability of a director or officer of ours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or officer, as applicable, serving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such officer or director indemnified in connection with a legal proceeding, subject to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provide that we will indemnify each of our directors and such officers to the fullest extent permitted by law and our Charter and our Bylaws.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general liability insurance policy, which will cover certain liabilities of directors and officers of ours arising out of claims based on acts or omissions in their capacities as directors or officers.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025"/>
        <w:gridCol w:w="5135"/>
      </w:tblGrid>
      <w:tr>
        <w:trPr/>
        <w:tc>
          <w:tcPr>
            <w:tcW w:w="1025" w:type="dxa"/>
            <w:tcBorders/>
            <w:vAlign w:val="center"/>
          </w:tcPr>
          <w:p>
            <w:pPr>
              <w:pStyle w:val="TableContents"/>
              <w:bidi w:val="0"/>
              <w:spacing w:before="0" w:after="283"/>
              <w:jc w:val="left"/>
              <w:rPr>
                <w:b/>
              </w:rPr>
            </w:pPr>
            <w:r>
              <w:rPr>
                <w:b/>
              </w:rPr>
              <w:t>ITEM 16.</w:t>
            </w:r>
          </w:p>
        </w:tc>
        <w:tc>
          <w:tcPr>
            <w:tcW w:w="5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283"/>
              <w:jc w:val="left"/>
              <w:rPr/>
            </w:pPr>
            <w:r>
              <w:rPr/>
              <w:t>(a)</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"http://www.sec.gov/Archives/edgar/data/../../../ix?doc=/Archives/edgar/data/1869105/000121390025062224/ea0237401-10.htm" \l "T701"</w:instrText>
            </w:r>
            <w:r>
              <w:rPr>
                <w:rStyle w:val="InternetLink"/>
              </w:rPr>
              <w:fldChar w:fldCharType="separate"/>
            </w:r>
            <w:r>
              <w:rPr>
                <w:rStyle w:val="InternetLink"/>
              </w:rPr>
              <w:t xml:space="preserve">Business Combination Agreement, by and among Helix Acquisition Corp. II, TheRas, Inc. and Helix II Merger Sub, Inc., dated as of February 28, 2025 (incorporated by reference to Annex A in the Registrant’s proxy statement/prospectus filed on July 9, 2025).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"http://www.sec.gov/Archives/edgar/data/../../../ix?doc=/Archives/edgar/data/1869105/000121390025062224/ea0237401-10.htm" \l "T701"</w:instrText>
            </w:r>
            <w:r>
              <w:rPr>
                <w:rStyle w:val="InternetLink"/>
              </w:rPr>
              <w:fldChar w:fldCharType="separate"/>
            </w:r>
            <w:r>
              <w:rPr>
                <w:rStyle w:val="InternetLink"/>
              </w:rPr>
              <w:t xml:space="preserve">Amendment No. 1 to Business Combination Agreement, by and among Helix Acquisition Corp. II, TheRas, Inc. and Helix Merger Sub, Inc., dated as of June 17, 2025 (incorporated by reference to Annex A in the Registrant’s proxy statement/prospectus filed on July 9, 2025).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5">
              <w:r>
                <w:rPr>
                  <w:rStyle w:val="InternetLink"/>
                </w:rPr>
                <w:t xml:space="preserve">BridgeBio Oncology Therapeutics, Inc. Certificate of Incorporation (incorporated by reference to Exhibit 3.1 the Registrant’s Current Report on Form 8-K filed on August 13,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6">
              <w:r>
                <w:rPr>
                  <w:rStyle w:val="InternetLink"/>
                </w:rPr>
                <w:t xml:space="preserve">BridgeBio Oncology Therapeutics, Inc. Bylaws (incorporated by reference to Exhibit 3.2 in the Registrant’s Current Report on Form 8-K filed on August 13,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7">
              <w:r>
                <w:rPr>
                  <w:rStyle w:val="InternetLink"/>
                </w:rPr>
                <w:t xml:space="preserve">Specimen Common Stock Certificate of BridgeBio Oncology Therapeutics, Inc. (incorporated by reference to Exhibit 4.1 in the Registrant’s proxy statement/prospectus filed on July 9,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8">
              <w:r>
                <w:rPr>
                  <w:rStyle w:val="InternetLink"/>
                </w:rPr>
                <w:t xml:space="preserve">Description of Securities (incorporated by reference to Exhibit 4.2 in the Registrant’s Annual Report on Form 10-K filed on March 5,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9">
              <w:r>
                <w:rPr>
                  <w:rStyle w:val="InternetLink"/>
                </w:rPr>
                <w:t xml:space="preserve">Opinion of Goodwin Procter LLP (incorporated by reference to Exhibit 5.1 in the Registrant’s Form S-1 (File No. 333-289940) filed on August 29,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0">
              <w:r>
                <w:rPr>
                  <w:rStyle w:val="InternetLink"/>
                </w:rPr>
                <w:t xml:space="preserve">Amended and Restated Registration Rights Agreement dated as of August 11, 2025 (incorporated by reference to Exhibit 10.1 in the Registrant’s Current Report on Form 8-K filed on August 13,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"http://www.sec.gov/Archives/edgar/data/../../../ix?doc=/Archives/edgar/data/1869105/000121390025062224/ea0237401-10.htm" \l "T705"</w:instrText>
            </w:r>
            <w:r>
              <w:rPr>
                <w:rStyle w:val="InternetLink"/>
              </w:rPr>
              <w:fldChar w:fldCharType="separate"/>
            </w:r>
            <w:r>
              <w:rPr>
                <w:rStyle w:val="InternetLink"/>
              </w:rPr>
              <w:t xml:space="preserve">Form of Subscription Agreement, dated February 28, 2025, by and between Helix Acquisition Corp. II and each PIPE Investor (incorporated by reference to Annex E in the Registrant’s proxy statement/prospectus filed on July 9, 2025).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1">
              <w:r>
                <w:rPr>
                  <w:rStyle w:val="InternetLink"/>
                </w:rPr>
                <w:t xml:space="preserve">Lock-Up Agreement, dated as of August 11, 2025, by and between Helix Acquisition Corp. II, Helix Holdings II, LLC, certain investment vehicles of Cormorant Asset Management, LP, certain existing shareholders of the Company, and other persons and entities (incorporated by reference to Exhibit 10.3 in the Registrant’s Current Report on Form 8-K filed on August 13,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28473dex231.htm">
              <w:r>
                <w:rPr>
                  <w:rStyle w:val="InternetLink"/>
                </w:rPr>
                <w:t xml:space="preserve">Consent of Deloitte &amp; Touche, LLP as an independent registered public accounting firm.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2">
              <w:r>
                <w:rPr>
                  <w:rStyle w:val="InternetLink"/>
                </w:rPr>
                <w:t xml:space="preserve">Consent of Goodwin Procter LLP (included in Exhibit 5.1 hereto).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"http://www.sec.gov/Archives/edgar/data/1869105/000119312526197901/d480864dposam.htm" \l "sig"</w:instrText>
            </w:r>
            <w:r>
              <w:rPr>
                <w:rStyle w:val="InternetLink"/>
              </w:rPr>
              <w:fldChar w:fldCharType="separate"/>
            </w:r>
            <w:r>
              <w:rPr>
                <w:rStyle w:val="InternetLink"/>
              </w:rPr>
              <w:t xml:space="preserve">Power of Attorney (included on the signature page to the registration statement).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3">
              <w:r>
                <w:rPr>
                  <w:rStyle w:val="InternetLink"/>
                </w:rPr>
                <w:t xml:space="preserve">Filing Fee Table. </w:t>
              </w:r>
            </w:hyperlink>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155"/>
        <w:gridCol w:w="1325"/>
      </w:tblGrid>
      <w:tr>
        <w:trPr/>
        <w:tc>
          <w:tcPr>
            <w:tcW w:w="15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b)</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 Schedules All schedules have been omitted as not applicable or not required under the rules of Regulation S-X.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1025"/>
        <w:gridCol w:w="1685"/>
      </w:tblGrid>
      <w:tr>
        <w:trPr/>
        <w:tc>
          <w:tcPr>
            <w:tcW w:w="1025" w:type="dxa"/>
            <w:tcBorders/>
            <w:vAlign w:val="center"/>
          </w:tcPr>
          <w:p>
            <w:pPr>
              <w:pStyle w:val="TableContents"/>
              <w:bidi w:val="0"/>
              <w:spacing w:before="0" w:after="283"/>
              <w:jc w:val="left"/>
              <w:rPr>
                <w:b/>
              </w:rPr>
            </w:pPr>
            <w:r>
              <w:rPr>
                <w:b/>
              </w:rPr>
              <w:t>ITEM 17.</w:t>
            </w:r>
          </w:p>
        </w:tc>
        <w:tc>
          <w:tcPr>
            <w:tcW w:w="16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170"/>
        <w:gridCol w:w="3845"/>
      </w:tblGrid>
      <w:tr>
        <w:trPr/>
        <w:tc>
          <w:tcPr>
            <w:tcW w:w="170" w:type="dxa"/>
            <w:tcBorders/>
            <w:vAlign w:val="center"/>
          </w:tcPr>
          <w:p>
            <w:pPr>
              <w:pStyle w:val="TableContents"/>
              <w:bidi w:val="0"/>
              <w:spacing w:before="0" w:after="283"/>
              <w:jc w:val="left"/>
              <w:rPr/>
            </w:pPr>
            <w:r>
              <w:rPr/>
              <w:t>I.</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275"/>
        <w:gridCol w:w="7130"/>
      </w:tblGrid>
      <w:tr>
        <w:trPr/>
        <w:tc>
          <w:tcPr>
            <w:tcW w:w="275" w:type="dxa"/>
            <w:tcBorders/>
            <w:vAlign w:val="center"/>
          </w:tcPr>
          <w:p>
            <w:pPr>
              <w:pStyle w:val="TableContents"/>
              <w:bidi w:val="0"/>
              <w:spacing w:before="0" w:after="283"/>
              <w:jc w:val="left"/>
              <w:rPr/>
            </w:pPr>
            <w:r>
              <w:rPr/>
              <w:t>D.</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E. That,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III.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IV.  The undersigned registrant hereby undertakes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Post-Effective Amendment No. 2 to the Registration Statement to Form S-1 on Form S-3 to be signed on its behalf by the undersigned, thereunto duly authorized, in South San Francisco, California, on September 1, 2026. </w:t>
      </w:r>
    </w:p>
    <w:p>
      <w:pPr>
        <w:pStyle w:val="TextBody"/>
        <w:bidi w:val="0"/>
        <w:spacing w:before="0" w:after="0"/>
        <w:jc w:val="left"/>
        <w:rPr/>
      </w:pPr>
      <w:r>
        <w:rPr/>
        <w:t> </w:t>
      </w:r>
    </w:p>
    <w:tbl>
      <w:tblPr>
        <w:tblW w:w="5554" w:type="dxa"/>
        <w:jc w:val="left"/>
        <w:tblInd w:w="0" w:type="dxa"/>
        <w:tblLayout w:type="fixed"/>
        <w:tblCellMar>
          <w:top w:w="0" w:type="dxa"/>
          <w:left w:w="0" w:type="dxa"/>
          <w:bottom w:w="0" w:type="dxa"/>
          <w:right w:w="0" w:type="dxa"/>
        </w:tblCellMar>
      </w:tblPr>
      <w:tblGrid>
        <w:gridCol w:w="1221"/>
        <w:gridCol w:w="110"/>
        <w:gridCol w:w="4223"/>
      </w:tblGrid>
      <w:tr>
        <w:trPr/>
        <w:tc>
          <w:tcPr>
            <w:tcW w:w="1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23"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b/>
              </w:rPr>
            </w:pPr>
            <w:r>
              <w:rPr>
                <w:b/>
              </w:rPr>
              <w:t>BRIDGEBIO ONCOLOGY THERAPEUTICS, INC.</w:t>
            </w:r>
          </w:p>
        </w:tc>
      </w:tr>
      <w:tr>
        <w:trPr/>
        <w:tc>
          <w:tcPr>
            <w:tcW w:w="1221" w:type="dxa"/>
            <w:tcBorders/>
            <w:vAlign w:val="center"/>
          </w:tcPr>
          <w:p>
            <w:pPr>
              <w:pStyle w:val="TableContents"/>
              <w:bidi w:val="0"/>
              <w:spacing w:before="0" w:after="283"/>
              <w:jc w:val="left"/>
              <w:rPr>
                <w:sz w:val="4"/>
                <w:szCs w:val="4"/>
              </w:rPr>
            </w:pPr>
            <w:r>
              <w:rPr>
                <w:sz w:val="4"/>
                <w:szCs w:val="4"/>
              </w:rPr>
            </w:r>
          </w:p>
        </w:tc>
        <w:tc>
          <w:tcPr>
            <w:tcW w:w="4333" w:type="dxa"/>
            <w:gridSpan w:val="2"/>
            <w:tcBorders/>
            <w:vAlign w:val="center"/>
          </w:tcPr>
          <w:p>
            <w:pPr>
              <w:pStyle w:val="TableContents"/>
              <w:bidi w:val="0"/>
              <w:spacing w:before="0" w:after="283"/>
              <w:jc w:val="left"/>
              <w:rPr>
                <w:sz w:val="4"/>
                <w:szCs w:val="4"/>
              </w:rPr>
            </w:pPr>
            <w:r>
              <w:rPr>
                <w:sz w:val="4"/>
                <w:szCs w:val="4"/>
              </w:rPr>
            </w:r>
          </w:p>
        </w:tc>
      </w:tr>
      <w:tr>
        <w:trPr/>
        <w:tc>
          <w:tcPr>
            <w:tcW w:w="1221" w:type="dxa"/>
            <w:tcBorders/>
            <w:vAlign w:val="center"/>
          </w:tcPr>
          <w:p>
            <w:pPr>
              <w:pStyle w:val="TableContents"/>
              <w:bidi w:val="0"/>
              <w:spacing w:before="0" w:after="283"/>
              <w:jc w:val="left"/>
              <w:rPr/>
            </w:pPr>
            <w:r>
              <w:rPr/>
              <w:t>By:</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c>
          <w:tcPr>
            <w:tcW w:w="4223" w:type="dxa"/>
            <w:tcBorders>
              <w:bottom w:val="single" w:sz="6" w:space="0" w:color="000000"/>
            </w:tcBorders>
            <w:tcMar>
              <w:bottom w:w="28" w:type="dxa"/>
            </w:tcMar>
            <w:vAlign w:val="center"/>
          </w:tcPr>
          <w:p>
            <w:pPr>
              <w:pStyle w:val="TableContents"/>
              <w:bidi w:val="0"/>
              <w:spacing w:before="0" w:after="283"/>
              <w:jc w:val="left"/>
              <w:rPr/>
            </w:pPr>
            <w:r>
              <w:rPr/>
              <w:t>/s/ Pedro J. Beltran</w:t>
            </w:r>
          </w:p>
        </w:tc>
      </w:tr>
      <w:tr>
        <w:trPr/>
        <w:tc>
          <w:tcPr>
            <w:tcW w:w="1221" w:type="dxa"/>
            <w:tcBorders/>
            <w:vAlign w:val="center"/>
          </w:tcPr>
          <w:p>
            <w:pPr>
              <w:pStyle w:val="TableContents"/>
              <w:bidi w:val="0"/>
              <w:spacing w:before="0" w:after="283"/>
              <w:jc w:val="left"/>
              <w:rPr/>
            </w:pPr>
            <w:r>
              <w:rPr/>
              <w:t>Name:</w:t>
            </w:r>
          </w:p>
        </w:tc>
        <w:tc>
          <w:tcPr>
            <w:tcW w:w="110" w:type="dxa"/>
            <w:tcBorders/>
            <w:vAlign w:val="center"/>
          </w:tcPr>
          <w:p>
            <w:pPr>
              <w:pStyle w:val="TableContents"/>
              <w:bidi w:val="0"/>
              <w:spacing w:before="0" w:after="283"/>
              <w:jc w:val="left"/>
              <w:rPr/>
            </w:pPr>
            <w:r>
              <w:rPr/>
              <w:t> </w:t>
            </w:r>
          </w:p>
        </w:tc>
        <w:tc>
          <w:tcPr>
            <w:tcW w:w="4223" w:type="dxa"/>
            <w:tcBorders/>
            <w:vAlign w:val="center"/>
          </w:tcPr>
          <w:p>
            <w:pPr>
              <w:pStyle w:val="TableContents"/>
              <w:bidi w:val="0"/>
              <w:spacing w:before="0" w:after="283"/>
              <w:jc w:val="left"/>
              <w:rPr/>
            </w:pPr>
            <w:r>
              <w:rPr/>
              <w:t>Pedro J. Beltran</w:t>
            </w:r>
          </w:p>
        </w:tc>
      </w:tr>
      <w:tr>
        <w:trPr/>
        <w:tc>
          <w:tcPr>
            <w:tcW w:w="1221" w:type="dxa"/>
            <w:tcBorders/>
            <w:vAlign w:val="center"/>
          </w:tcPr>
          <w:p>
            <w:pPr>
              <w:pStyle w:val="TableContents"/>
              <w:bidi w:val="0"/>
              <w:spacing w:before="0" w:after="283"/>
              <w:jc w:val="left"/>
              <w:rPr/>
            </w:pPr>
            <w:r>
              <w:rPr/>
              <w:t>Title:</w:t>
            </w:r>
          </w:p>
        </w:tc>
        <w:tc>
          <w:tcPr>
            <w:tcW w:w="110" w:type="dxa"/>
            <w:tcBorders/>
            <w:vAlign w:val="center"/>
          </w:tcPr>
          <w:p>
            <w:pPr>
              <w:pStyle w:val="TableContents"/>
              <w:bidi w:val="0"/>
              <w:spacing w:before="0" w:after="283"/>
              <w:jc w:val="left"/>
              <w:rPr/>
            </w:pPr>
            <w:r>
              <w:rPr/>
              <w:t> </w:t>
            </w:r>
          </w:p>
        </w:tc>
        <w:tc>
          <w:tcPr>
            <w:tcW w:w="4223" w:type="dxa"/>
            <w:tcBorders/>
            <w:vAlign w:val="center"/>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Post Effective Amendment No. 2 to the Registration Statement on Form S-1 on Form S-3 has been signed by the following persons in the capacities and on the dates indicated. </w:t>
      </w:r>
    </w:p>
    <w:p>
      <w:pPr>
        <w:pStyle w:val="TextBody"/>
        <w:bidi w:val="0"/>
        <w:spacing w:before="0" w:after="0"/>
        <w:jc w:val="left"/>
        <w:rPr/>
      </w:pPr>
      <w:r>
        <w:rPr/>
        <w:t> </w:t>
      </w:r>
    </w:p>
    <w:tbl>
      <w:tblPr>
        <w:tblW w:w="10035" w:type="dxa"/>
        <w:jc w:val="left"/>
        <w:tblInd w:w="0" w:type="dxa"/>
        <w:tblLayout w:type="fixed"/>
        <w:tblCellMar>
          <w:top w:w="0" w:type="dxa"/>
          <w:left w:w="0" w:type="dxa"/>
          <w:bottom w:w="0" w:type="dxa"/>
          <w:right w:w="0" w:type="dxa"/>
        </w:tblCellMar>
      </w:tblPr>
      <w:tblGrid>
        <w:gridCol w:w="1715"/>
        <w:gridCol w:w="120"/>
        <w:gridCol w:w="6320"/>
        <w:gridCol w:w="60"/>
        <w:gridCol w:w="182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632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Pedro J. Beltran</w:t>
            </w:r>
          </w:p>
          <w:p>
            <w:pPr>
              <w:pStyle w:val="TableContents"/>
              <w:bidi w:val="0"/>
              <w:spacing w:before="0" w:after="20"/>
              <w:jc w:val="left"/>
              <w:rPr>
                <w:rFonts w:ascii="Times New Roman" w:hAnsi="Times New Roman"/>
                <w:sz w:val="20"/>
              </w:rPr>
            </w:pPr>
            <w:r>
              <w:rPr>
                <w:rFonts w:ascii="Times New Roman" w:hAnsi="Times New Roman"/>
                <w:sz w:val="20"/>
              </w:rPr>
              <w:t>Pedro J. Beltran</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Chief Executive Officer and Director (Principal Executive Officer)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Idan Elmelech</w:t>
            </w:r>
          </w:p>
          <w:p>
            <w:pPr>
              <w:pStyle w:val="TableContents"/>
              <w:bidi w:val="0"/>
              <w:spacing w:before="0" w:after="20"/>
              <w:jc w:val="left"/>
              <w:rPr>
                <w:rFonts w:ascii="Times New Roman" w:hAnsi="Times New Roman"/>
                <w:sz w:val="20"/>
              </w:rPr>
            </w:pPr>
            <w:r>
              <w:rPr>
                <w:rFonts w:ascii="Times New Roman" w:hAnsi="Times New Roman"/>
                <w:sz w:val="20"/>
              </w:rPr>
              <w:t>Idan Elmelech</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Chief Operating Officer (Principal Financial Officer)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Marc Cobo</w:t>
            </w:r>
          </w:p>
          <w:p>
            <w:pPr>
              <w:pStyle w:val="TableContents"/>
              <w:bidi w:val="0"/>
              <w:spacing w:before="0" w:after="20"/>
              <w:jc w:val="left"/>
              <w:rPr>
                <w:rFonts w:ascii="Times New Roman" w:hAnsi="Times New Roman"/>
                <w:sz w:val="20"/>
              </w:rPr>
            </w:pPr>
            <w:r>
              <w:rPr>
                <w:rFonts w:ascii="Times New Roman" w:hAnsi="Times New Roman"/>
                <w:sz w:val="20"/>
              </w:rPr>
              <w:t>Marc Cobo</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Principal Accounting Officer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Jake Bauer</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Bihua Chen</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Raymond Kelleher</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Neil Kumar</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Peter Lebowitz</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Frank P. McCormick</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44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Praveen Tipirneni</w:t>
            </w:r>
          </w:p>
        </w:tc>
        <w:tc>
          <w:tcPr>
            <w:tcW w:w="12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September 1, 2026</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665"/>
        <w:gridCol w:w="60"/>
        <w:gridCol w:w="182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 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20" w:type="dxa"/>
            <w:tcBorders>
              <w:bottom w:val="single" w:sz="6" w:space="0" w:color="000000"/>
            </w:tcBorders>
            <w:tcMar>
              <w:bottom w:w="28" w:type="dxa"/>
            </w:tcMar>
            <w:vAlign w:val="center"/>
          </w:tcPr>
          <w:p>
            <w:pPr>
              <w:pStyle w:val="TableContents"/>
              <w:bidi w:val="0"/>
              <w:spacing w:before="0" w:after="283"/>
              <w:jc w:val="left"/>
              <w:rPr>
                <w:u w:val="single"/>
              </w:rPr>
            </w:pPr>
            <w:r>
              <w:rPr>
                <w:u w:val="single"/>
              </w:rPr>
              <w:t>/s/ Pedro J. Beltran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Pedro J. Beltran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8" w:name="d128473dex231.htm"/>
      <w:bookmarkStart w:id="19" w:name="ksd128473dex231"/>
      <w:bookmarkEnd w:id="18"/>
      <w:bookmarkEnd w:id="19"/>
      <w:r>
        <w:rPr>
          <w:rFonts w:ascii="Times New Roman" w:hAnsi="Times New Roman"/>
          <w:b/>
          <w:sz w:val="20"/>
        </w:rPr>
        <w:t xml:space="preserve">Exhibit 23.1 </w:t>
      </w:r>
      <w:r>
        <w:br w:type="page"/>
      </w:r>
    </w:p>
    <w:p>
      <w:pPr>
        <w:pStyle w:val="TextBody"/>
        <w:bidi w:val="0"/>
        <w:spacing w:before="36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No. 333-289940 on Form S-3 of our report dated March 5, 2026 relating to the financial statements of BridgeBio Oncology Therapeutics, Inc., appearing in the Annual Report on Form 10-K of BridgeBio Oncology Therapeutics, Inc.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69105/000119312525192760/d67813ds1.htm" TargetMode="External"/><Relationship Id="rId3" Type="http://schemas.openxmlformats.org/officeDocument/2006/relationships/image" Target="media/image1.jpeg"/><Relationship Id="rId4" Type="http://schemas.openxmlformats.org/officeDocument/2006/relationships/hyperlink" Target="http://www.sec.gov/Archives/edgar/data/../../../ix?doc=/Archives/edgar/data/1869105/000119312526094112/bbot-20251231.htm" TargetMode="External"/><Relationship Id="rId5" Type="http://schemas.openxmlformats.org/officeDocument/2006/relationships/hyperlink" Target="http://www.sec.gov/Archives/edgar/data/../../../ix?doc=/Archives/edgar/data/1869105/000119312526186944/d133143ddef14a.htm" TargetMode="External"/><Relationship Id="rId6" Type="http://schemas.openxmlformats.org/officeDocument/2006/relationships/hyperlink" Target="http://www.sec.gov/Archives/edgar/data/../../../ix?doc=/Archives/edgar/data/1869105/000119312526219829/bbot-20260331.htm" TargetMode="External"/><Relationship Id="rId7" Type="http://schemas.openxmlformats.org/officeDocument/2006/relationships/hyperlink" Target="http://www.sec.gov/Archives/edgar/data/../../../ix?doc=/Archives/edgar/data/1869105/000119312526344661/bbot-20260630.htm" TargetMode="External"/><Relationship Id="rId8" Type="http://schemas.openxmlformats.org/officeDocument/2006/relationships/hyperlink" Target="http://www.sec.gov/Archives/edgar/data/../../../ix?doc=/Archives/edgar/data/1869105/000119312526005425/d941846d8k.htm" TargetMode="External"/><Relationship Id="rId9" Type="http://schemas.openxmlformats.org/officeDocument/2006/relationships/hyperlink" Target="http://www.sec.gov/Archives/edgar/data/../../../ix?doc=/Archives/edgar/data/1869105/000119312526126493/d126641d8k.htm" TargetMode="External"/><Relationship Id="rId10" Type="http://schemas.openxmlformats.org/officeDocument/2006/relationships/hyperlink" Target="http://www.sec.gov/Archives/edgar/data/../../../ix?doc=/Archives/edgar/data/1869105/000119312526170888/d253464d8k.htm" TargetMode="External"/><Relationship Id="rId11" Type="http://schemas.openxmlformats.org/officeDocument/2006/relationships/hyperlink" Target="http://www.sec.gov/Archives/edgar/data/../../../ix?doc=/Archives/edgar/data/1869105/000119312526191512/d68319d8k.htm" TargetMode="External"/><Relationship Id="rId12" Type="http://schemas.openxmlformats.org/officeDocument/2006/relationships/hyperlink" Target="http://www.sec.gov/Archives/edgar/data/../../../ix?doc=/Archives/edgar/data/1869105/000119312526277513/d137002d8k.htm" TargetMode="External"/><Relationship Id="rId13" Type="http://schemas.openxmlformats.org/officeDocument/2006/relationships/hyperlink" Target="http://www.sec.gov/Archives/edgar/data/1869105/000121390024011457/ea193097-8a12b_helixacq2.htm" TargetMode="External"/><Relationship Id="rId14" Type="http://schemas.openxmlformats.org/officeDocument/2006/relationships/hyperlink" Target="http://www.sec.gov/Archives/edgar/data/1869105/000119312526094112/bbot-ex4_2.htm" TargetMode="External"/><Relationship Id="rId15" Type="http://schemas.openxmlformats.org/officeDocument/2006/relationships/hyperlink" Target="http://www.sec.gov/Archives/edgar/data/1869105/000121390025075190/ea025066201ex3-1_bridge.htm" TargetMode="External"/><Relationship Id="rId16" Type="http://schemas.openxmlformats.org/officeDocument/2006/relationships/hyperlink" Target="http://www.sec.gov/Archives/edgar/data/1869105/000121390025075190/ea025066201ex3-2_bridge.htm" TargetMode="External"/><Relationship Id="rId17" Type="http://schemas.openxmlformats.org/officeDocument/2006/relationships/hyperlink" Target="http://www.sec.gov/Archives/edgar/data/1869105/000121390025056321/ea023740105ex4-1_helix2.htm" TargetMode="External"/><Relationship Id="rId18" Type="http://schemas.openxmlformats.org/officeDocument/2006/relationships/hyperlink" Target="http://www.sec.gov/Archives/edgar/data/1869105/000119312526094112/bbot-ex4_2.htm" TargetMode="External"/><Relationship Id="rId19" Type="http://schemas.openxmlformats.org/officeDocument/2006/relationships/hyperlink" Target="http://www.sec.gov/Archives/edgar/data/1869105/000119312525192760/d67813dex51.htm" TargetMode="External"/><Relationship Id="rId20" Type="http://schemas.openxmlformats.org/officeDocument/2006/relationships/hyperlink" Target="http://www.sec.gov/Archives/edgar/data/1869105/000121390025075190/ea025066201ex10-1_bridge.htm" TargetMode="External"/><Relationship Id="rId21" Type="http://schemas.openxmlformats.org/officeDocument/2006/relationships/hyperlink" Target="http://www.sec.gov/Archives/edgar/data/1869105/000121390025075190/ea025066201ex10-3_bridge.htm" TargetMode="External"/><Relationship Id="rId22" Type="http://schemas.openxmlformats.org/officeDocument/2006/relationships/hyperlink" Target="http://www.sec.gov/Archives/edgar/data/1869105/000119312525192760/d67813dex51.htm" TargetMode="External"/><Relationship Id="rId23" Type="http://schemas.openxmlformats.org/officeDocument/2006/relationships/hyperlink" Target="http://www.sec.gov/Archives/edgar/data/1869105/000119312525192760/d67813dexfilingfees.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21696</Words>
  <Characters>116028</Characters>
  <CharactersWithSpaces>138602</CharactersWithSpaces>
  <Paragraphs>2044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